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bCs/>
          <w:kern w:val="0"/>
          <w:sz w:val="32"/>
          <w:szCs w:val="32"/>
        </w:rPr>
      </w:pPr>
      <w:r>
        <w:rPr>
          <w:rFonts w:ascii="黑体" w:hAnsi="黑体" w:eastAsia="黑体"/>
          <w:bCs/>
          <w:kern w:val="0"/>
          <w:sz w:val="32"/>
          <w:szCs w:val="32"/>
        </w:rPr>
        <w:t>附件</w:t>
      </w:r>
      <w:r>
        <w:rPr>
          <w:rFonts w:hint="eastAsia" w:ascii="黑体" w:hAnsi="黑体" w:eastAsia="黑体"/>
          <w:bCs/>
          <w:kern w:val="0"/>
          <w:sz w:val="32"/>
          <w:szCs w:val="32"/>
        </w:rPr>
        <w:t>1</w:t>
      </w:r>
    </w:p>
    <w:p>
      <w:pPr>
        <w:spacing w:line="540" w:lineRule="exact"/>
        <w:jc w:val="center"/>
        <w:rPr>
          <w:rFonts w:hint="eastAsia" w:ascii="Times New Roman" w:hAnsi="Times New Roman" w:eastAsia="方正小标宋_GBK"/>
          <w:bCs/>
          <w:kern w:val="0"/>
          <w:sz w:val="44"/>
          <w:szCs w:val="44"/>
        </w:rPr>
      </w:pPr>
      <w:r>
        <w:rPr>
          <w:rFonts w:ascii="Times New Roman" w:hAnsi="Times New Roman" w:eastAsia="方正小标宋_GBK"/>
          <w:bCs/>
          <w:kern w:val="0"/>
          <w:sz w:val="44"/>
          <w:szCs w:val="44"/>
        </w:rPr>
        <w:t>劳动关系和谐企业评价细则</w:t>
      </w:r>
    </w:p>
    <w:p>
      <w:pPr>
        <w:pStyle w:val="2"/>
        <w:spacing w:after="0"/>
      </w:pPr>
    </w:p>
    <w:p>
      <w:pPr>
        <w:pStyle w:val="6"/>
        <w:numPr>
          <w:ilvl w:val="0"/>
          <w:numId w:val="2"/>
        </w:numPr>
        <w:tabs>
          <w:tab w:val="clear" w:pos="0"/>
        </w:tabs>
        <w:ind w:left="811" w:hanging="448"/>
        <w:rPr>
          <w:color w:val="auto"/>
        </w:rPr>
      </w:pPr>
    </w:p>
    <w:tbl>
      <w:tblPr>
        <w:tblStyle w:val="4"/>
        <w:tblW w:w="14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560"/>
        <w:gridCol w:w="850"/>
        <w:gridCol w:w="8479"/>
        <w:gridCol w:w="1332"/>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1346" w:type="dxa"/>
            <w:vAlign w:val="center"/>
          </w:tcPr>
          <w:p>
            <w:pPr>
              <w:widowControl/>
              <w:spacing w:line="300" w:lineRule="exact"/>
              <w:jc w:val="center"/>
              <w:rPr>
                <w:rFonts w:ascii="Times New Roman" w:hAnsi="Times New Roman" w:eastAsia="黑体"/>
                <w:szCs w:val="21"/>
              </w:rPr>
            </w:pPr>
            <w:r>
              <w:rPr>
                <w:rFonts w:ascii="Times New Roman" w:hAnsi="Times New Roman" w:eastAsia="黑体"/>
                <w:szCs w:val="21"/>
              </w:rPr>
              <w:t>评价项目</w:t>
            </w:r>
          </w:p>
        </w:tc>
        <w:tc>
          <w:tcPr>
            <w:tcW w:w="1560" w:type="dxa"/>
            <w:vAlign w:val="center"/>
          </w:tcPr>
          <w:p>
            <w:pPr>
              <w:widowControl/>
              <w:spacing w:line="300" w:lineRule="exact"/>
              <w:jc w:val="center"/>
              <w:rPr>
                <w:rFonts w:ascii="Times New Roman" w:hAnsi="Times New Roman" w:eastAsia="黑体"/>
                <w:szCs w:val="21"/>
              </w:rPr>
            </w:pPr>
            <w:r>
              <w:rPr>
                <w:rFonts w:ascii="Times New Roman" w:hAnsi="Times New Roman" w:eastAsia="黑体"/>
                <w:szCs w:val="21"/>
              </w:rPr>
              <w:t>评价要素</w:t>
            </w:r>
          </w:p>
        </w:tc>
        <w:tc>
          <w:tcPr>
            <w:tcW w:w="850" w:type="dxa"/>
            <w:vAlign w:val="center"/>
          </w:tcPr>
          <w:p>
            <w:pPr>
              <w:widowControl/>
              <w:spacing w:line="300" w:lineRule="exact"/>
              <w:jc w:val="center"/>
              <w:rPr>
                <w:rFonts w:ascii="Times New Roman" w:hAnsi="Times New Roman" w:eastAsia="黑体"/>
                <w:szCs w:val="21"/>
              </w:rPr>
            </w:pPr>
            <w:r>
              <w:rPr>
                <w:rFonts w:ascii="Times New Roman" w:hAnsi="Times New Roman" w:eastAsia="黑体"/>
                <w:szCs w:val="21"/>
              </w:rPr>
              <w:t>分值</w:t>
            </w:r>
          </w:p>
        </w:tc>
        <w:tc>
          <w:tcPr>
            <w:tcW w:w="8479" w:type="dxa"/>
            <w:vAlign w:val="center"/>
          </w:tcPr>
          <w:p>
            <w:pPr>
              <w:widowControl/>
              <w:spacing w:line="300" w:lineRule="exact"/>
              <w:jc w:val="center"/>
              <w:rPr>
                <w:rFonts w:ascii="Times New Roman" w:hAnsi="Times New Roman" w:eastAsia="黑体"/>
                <w:szCs w:val="21"/>
              </w:rPr>
            </w:pPr>
            <w:r>
              <w:rPr>
                <w:rFonts w:ascii="Times New Roman" w:hAnsi="Times New Roman" w:eastAsia="黑体"/>
                <w:szCs w:val="21"/>
              </w:rPr>
              <w:t>评</w:t>
            </w:r>
            <w:r>
              <w:rPr>
                <w:rFonts w:hint="eastAsia" w:ascii="Times New Roman" w:hAnsi="Times New Roman" w:eastAsia="黑体"/>
                <w:szCs w:val="21"/>
              </w:rPr>
              <w:t xml:space="preserve"> </w:t>
            </w:r>
            <w:r>
              <w:rPr>
                <w:rFonts w:ascii="Times New Roman" w:hAnsi="Times New Roman" w:eastAsia="黑体"/>
                <w:szCs w:val="21"/>
              </w:rPr>
              <w:t>价</w:t>
            </w:r>
            <w:r>
              <w:rPr>
                <w:rFonts w:hint="eastAsia" w:ascii="Times New Roman" w:hAnsi="Times New Roman" w:eastAsia="黑体"/>
                <w:szCs w:val="21"/>
              </w:rPr>
              <w:t xml:space="preserve"> </w:t>
            </w:r>
            <w:r>
              <w:rPr>
                <w:rFonts w:ascii="Times New Roman" w:hAnsi="Times New Roman" w:eastAsia="黑体"/>
                <w:szCs w:val="21"/>
              </w:rPr>
              <w:t>内</w:t>
            </w:r>
            <w:r>
              <w:rPr>
                <w:rFonts w:hint="eastAsia" w:ascii="Times New Roman" w:hAnsi="Times New Roman" w:eastAsia="黑体"/>
                <w:szCs w:val="21"/>
              </w:rPr>
              <w:t xml:space="preserve"> </w:t>
            </w:r>
            <w:r>
              <w:rPr>
                <w:rFonts w:ascii="Times New Roman" w:hAnsi="Times New Roman" w:eastAsia="黑体"/>
                <w:szCs w:val="21"/>
              </w:rPr>
              <w:t>容</w:t>
            </w:r>
          </w:p>
        </w:tc>
        <w:tc>
          <w:tcPr>
            <w:tcW w:w="1332" w:type="dxa"/>
            <w:vAlign w:val="center"/>
          </w:tcPr>
          <w:p>
            <w:pPr>
              <w:widowControl/>
              <w:spacing w:line="300" w:lineRule="exact"/>
              <w:jc w:val="center"/>
              <w:rPr>
                <w:rFonts w:ascii="Times New Roman" w:hAnsi="Times New Roman" w:eastAsia="黑体"/>
                <w:szCs w:val="21"/>
              </w:rPr>
            </w:pPr>
            <w:r>
              <w:rPr>
                <w:rFonts w:ascii="Times New Roman" w:hAnsi="Times New Roman" w:eastAsia="黑体"/>
                <w:szCs w:val="21"/>
              </w:rPr>
              <w:t>评分细则</w:t>
            </w:r>
          </w:p>
        </w:tc>
        <w:tc>
          <w:tcPr>
            <w:tcW w:w="814" w:type="dxa"/>
            <w:vAlign w:val="center"/>
          </w:tcPr>
          <w:p>
            <w:pPr>
              <w:tabs>
                <w:tab w:val="center" w:pos="4201"/>
                <w:tab w:val="right" w:leader="dot" w:pos="9298"/>
              </w:tabs>
              <w:spacing w:line="300" w:lineRule="exact"/>
              <w:jc w:val="center"/>
              <w:rPr>
                <w:rFonts w:ascii="Times New Roman" w:hAnsi="Times New Roman" w:eastAsia="黑体"/>
                <w:szCs w:val="21"/>
              </w:rPr>
            </w:pPr>
            <w:r>
              <w:rPr>
                <w:rFonts w:ascii="Times New Roman" w:hAnsi="Times New Roman" w:eastAsia="黑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1劳动用工管理</w:t>
            </w:r>
          </w:p>
          <w:p>
            <w:pPr>
              <w:widowControl/>
              <w:spacing w:line="300" w:lineRule="exact"/>
              <w:jc w:val="center"/>
              <w:rPr>
                <w:rFonts w:ascii="Times New Roman" w:hAnsi="Times New Roman"/>
                <w:szCs w:val="21"/>
              </w:rPr>
            </w:pPr>
            <w:r>
              <w:rPr>
                <w:rFonts w:ascii="Times New Roman" w:hAnsi="Times New Roman"/>
                <w:szCs w:val="21"/>
              </w:rPr>
              <w:t>（10分）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1.1用工规范</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4分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lang w:val="en"/>
              </w:rPr>
              <w:t>劳动用工管理信息化，应用电子劳动合同；</w:t>
            </w:r>
            <w:r>
              <w:rPr>
                <w:rFonts w:hint="eastAsia" w:ascii="宋体" w:hAnsi="宋体" w:cs="宋体"/>
                <w:szCs w:val="21"/>
              </w:rPr>
              <w:t>②</w:t>
            </w:r>
            <w:r>
              <w:rPr>
                <w:rFonts w:ascii="Times New Roman" w:hAnsi="Times New Roman"/>
                <w:szCs w:val="21"/>
                <w:lang w:val="en"/>
              </w:rPr>
              <w:t>各类用工底数清，手续齐全，有花名册。</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各2分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1.2合同签订</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依法与劳动者签订劳动合同，劳动合同签订率达100% ；</w:t>
            </w:r>
            <w:r>
              <w:rPr>
                <w:rFonts w:hint="eastAsia" w:ascii="宋体" w:hAnsi="宋体" w:cs="宋体"/>
                <w:szCs w:val="21"/>
              </w:rPr>
              <w:t>②</w:t>
            </w:r>
            <w:r>
              <w:rPr>
                <w:rFonts w:ascii="Times New Roman" w:hAnsi="Times New Roman"/>
                <w:szCs w:val="21"/>
              </w:rPr>
              <w:t>企业和劳动者各执一份劳动合同文本（电子劳动合同不需纸质合同）。</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1.3合同履行</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劳动合同的履行、变更、解除、终止程序合法。</w:t>
            </w:r>
            <w:r>
              <w:rPr>
                <w:rFonts w:hint="eastAsia" w:ascii="宋体" w:hAnsi="宋体" w:cs="宋体"/>
                <w:szCs w:val="21"/>
              </w:rPr>
              <w:t>②</w:t>
            </w:r>
            <w:r>
              <w:rPr>
                <w:rFonts w:ascii="Times New Roman" w:hAnsi="Times New Roman"/>
                <w:szCs w:val="21"/>
              </w:rPr>
              <w:t>解除或终止合同依法支付经济补偿</w:t>
            </w:r>
            <w:r>
              <w:rPr>
                <w:rFonts w:hint="eastAsia" w:ascii="Times New Roman" w:hAnsi="Times New Roman"/>
                <w:szCs w:val="21"/>
              </w:rPr>
              <w:t>金</w:t>
            </w:r>
            <w:r>
              <w:rPr>
                <w:rFonts w:ascii="Times New Roman" w:hAnsi="Times New Roman"/>
                <w:szCs w:val="21"/>
              </w:rPr>
              <w:t>。</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1.4劳务用工</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使用劳务派遣工符合劳动法律法规规定：</w:t>
            </w:r>
            <w:r>
              <w:rPr>
                <w:rFonts w:hint="eastAsia" w:ascii="宋体" w:hAnsi="宋体" w:cs="宋体"/>
                <w:szCs w:val="21"/>
              </w:rPr>
              <w:t>①</w:t>
            </w:r>
            <w:r>
              <w:rPr>
                <w:rFonts w:ascii="Times New Roman" w:hAnsi="Times New Roman"/>
                <w:szCs w:val="21"/>
              </w:rPr>
              <w:t>劳务派遣在临时性、辅助性或者替代性的工作岗位上实施，并不超过法定比例；</w:t>
            </w:r>
            <w:r>
              <w:rPr>
                <w:rFonts w:hint="eastAsia" w:ascii="宋体" w:hAnsi="宋体" w:cs="宋体"/>
                <w:szCs w:val="21"/>
              </w:rPr>
              <w:t>②</w:t>
            </w:r>
            <w:r>
              <w:rPr>
                <w:rFonts w:ascii="Times New Roman" w:hAnsi="Times New Roman"/>
                <w:szCs w:val="21"/>
              </w:rPr>
              <w:t>对被派遣劳动者实行同工同酬。</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2劳动规章</w:t>
            </w:r>
          </w:p>
          <w:p>
            <w:pPr>
              <w:widowControl/>
              <w:spacing w:line="300" w:lineRule="exact"/>
              <w:jc w:val="center"/>
              <w:rPr>
                <w:rFonts w:ascii="Times New Roman" w:hAnsi="Times New Roman"/>
                <w:szCs w:val="21"/>
              </w:rPr>
            </w:pPr>
            <w:r>
              <w:rPr>
                <w:rFonts w:ascii="Times New Roman" w:hAnsi="Times New Roman"/>
                <w:szCs w:val="21"/>
              </w:rPr>
              <w:t>（7分）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2.1制度健全</w:t>
            </w:r>
          </w:p>
          <w:p>
            <w:pPr>
              <w:widowControl/>
              <w:spacing w:line="300" w:lineRule="exact"/>
              <w:jc w:val="center"/>
              <w:rPr>
                <w:rFonts w:ascii="Times New Roman" w:hAnsi="Times New Roman"/>
                <w:szCs w:val="21"/>
              </w:rPr>
            </w:pP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4分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建立和完善劳动报酬、工作时间、休息休假、保险福利、职工培训、劳动纪律等制度；</w:t>
            </w:r>
            <w:r>
              <w:rPr>
                <w:rFonts w:hint="eastAsia" w:ascii="宋体" w:hAnsi="宋体" w:cs="宋体"/>
                <w:szCs w:val="21"/>
              </w:rPr>
              <w:t>②</w:t>
            </w:r>
            <w:r>
              <w:rPr>
                <w:rFonts w:ascii="Times New Roman" w:hAnsi="Times New Roman"/>
                <w:szCs w:val="21"/>
              </w:rPr>
              <w:t>劳动规章制度的内容不得与法律、法规相抵触，且公平合理。</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各2分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2.2 程序合法</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制定劳动规章制度和决定涉及职工切身利益的重大事项，应当经职工（代表）大会讨论，提出方案和意见；</w:t>
            </w:r>
            <w:r>
              <w:rPr>
                <w:rFonts w:hint="eastAsia" w:ascii="宋体" w:hAnsi="宋体" w:cs="宋体"/>
                <w:szCs w:val="21"/>
              </w:rPr>
              <w:t>②</w:t>
            </w:r>
            <w:r>
              <w:rPr>
                <w:rFonts w:ascii="Times New Roman" w:hAnsi="Times New Roman"/>
                <w:szCs w:val="21"/>
              </w:rPr>
              <w:t>与工会或者职工代表平等协商确定。</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2.3 公示告知</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1分</w:t>
            </w: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 xml:space="preserve">劳动规章制度、重大事项应当公示，或者告知职工。 </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3工资分配</w:t>
            </w:r>
          </w:p>
          <w:p>
            <w:pPr>
              <w:widowControl/>
              <w:spacing w:line="300" w:lineRule="exact"/>
              <w:jc w:val="center"/>
              <w:rPr>
                <w:rFonts w:ascii="Times New Roman" w:hAnsi="Times New Roman"/>
                <w:szCs w:val="21"/>
              </w:rPr>
            </w:pPr>
            <w:r>
              <w:rPr>
                <w:rFonts w:ascii="Times New Roman" w:hAnsi="Times New Roman"/>
                <w:szCs w:val="21"/>
              </w:rPr>
              <w:t>（12分）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3.1工资制度</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6分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建立以工资集体协商为主要形式的工资分配决定机制和工资水平调整机制；参照工资指导线，职工工资增长与企业劳动生产率提高相协调，与经济效益挂钩；</w:t>
            </w:r>
            <w:r>
              <w:rPr>
                <w:rFonts w:hint="eastAsia" w:ascii="宋体" w:hAnsi="宋体" w:cs="宋体"/>
                <w:szCs w:val="21"/>
              </w:rPr>
              <w:t>②</w:t>
            </w:r>
            <w:r>
              <w:rPr>
                <w:rFonts w:ascii="Times New Roman" w:hAnsi="Times New Roman"/>
                <w:szCs w:val="21"/>
              </w:rPr>
              <w:t>建立科技和技能人才薪酬激励制度。</w:t>
            </w:r>
            <w:r>
              <w:rPr>
                <w:rFonts w:hint="eastAsia" w:ascii="宋体" w:hAnsi="宋体" w:cs="宋体"/>
                <w:szCs w:val="21"/>
              </w:rPr>
              <w:t>③</w:t>
            </w:r>
            <w:r>
              <w:rPr>
                <w:rFonts w:ascii="Times New Roman" w:hAnsi="Times New Roman"/>
                <w:szCs w:val="21"/>
              </w:rPr>
              <w:t>一线职工、技能人才年收入增长水平高于企业职工平均工资增长水平。</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w:t>
            </w:r>
            <w:r>
              <w:rPr>
                <w:rFonts w:ascii="Times New Roman" w:hAnsi="Times New Roman"/>
                <w:szCs w:val="21"/>
              </w:rPr>
              <w:t>各2分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3.2劳动定额</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p>
            <w:pPr>
              <w:widowControl/>
              <w:spacing w:line="300" w:lineRule="exact"/>
              <w:jc w:val="center"/>
              <w:rPr>
                <w:rFonts w:ascii="Times New Roman" w:hAnsi="Times New Roman"/>
                <w:szCs w:val="21"/>
              </w:rPr>
            </w:pP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依法确定、调整劳动定额或者计件报酬标准；</w:t>
            </w:r>
            <w:r>
              <w:rPr>
                <w:rFonts w:hint="eastAsia" w:ascii="宋体" w:hAnsi="宋体" w:cs="宋体"/>
                <w:szCs w:val="21"/>
              </w:rPr>
              <w:t>②</w:t>
            </w:r>
            <w:r>
              <w:rPr>
                <w:rFonts w:ascii="Times New Roman" w:hAnsi="Times New Roman"/>
                <w:szCs w:val="21"/>
              </w:rPr>
              <w:t>劳动定额标准能够确保同岗位90%以上劳动者在法定工作时间内完成。</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3.3 工资支付</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4分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以货币形式按时足额支付职工工资；</w:t>
            </w:r>
            <w:r>
              <w:rPr>
                <w:rFonts w:hint="eastAsia" w:ascii="宋体" w:hAnsi="宋体" w:cs="宋体"/>
                <w:szCs w:val="21"/>
              </w:rPr>
              <w:t>②</w:t>
            </w:r>
            <w:r>
              <w:rPr>
                <w:rFonts w:ascii="Times New Roman" w:hAnsi="Times New Roman"/>
                <w:szCs w:val="21"/>
              </w:rPr>
              <w:t xml:space="preserve">依法发放各种津贴（有毒有害高温等）。 </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各2分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4工作时间与休息休假（6分）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4.1工作时间</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依法执行国家规定的工作时间；</w:t>
            </w:r>
            <w:r>
              <w:rPr>
                <w:rFonts w:hint="eastAsia" w:ascii="宋体" w:hAnsi="宋体" w:cs="宋体"/>
                <w:szCs w:val="21"/>
              </w:rPr>
              <w:t>②</w:t>
            </w:r>
            <w:r>
              <w:rPr>
                <w:rFonts w:ascii="Times New Roman" w:hAnsi="Times New Roman"/>
                <w:szCs w:val="21"/>
              </w:rPr>
              <w:t>执行特殊工时制的，应履行报批手续。</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4.2加班加点</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加班加点应事先与工会和职工协商，延长工作时间符合法律法规规定；</w:t>
            </w:r>
            <w:r>
              <w:rPr>
                <w:rFonts w:hint="eastAsia" w:ascii="宋体" w:hAnsi="宋体" w:cs="宋体"/>
                <w:szCs w:val="21"/>
              </w:rPr>
              <w:t>②</w:t>
            </w:r>
            <w:r>
              <w:rPr>
                <w:rFonts w:ascii="Times New Roman" w:hAnsi="Times New Roman"/>
                <w:szCs w:val="21"/>
              </w:rPr>
              <w:t>依法足额发放加班加点工资报酬。</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4.3休息休假</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依法执行休息和休假制度；</w:t>
            </w:r>
            <w:r>
              <w:rPr>
                <w:rFonts w:hint="eastAsia" w:ascii="宋体" w:hAnsi="宋体" w:cs="宋体"/>
                <w:szCs w:val="21"/>
              </w:rPr>
              <w:t>②</w:t>
            </w:r>
            <w:r>
              <w:rPr>
                <w:rFonts w:ascii="Times New Roman" w:hAnsi="Times New Roman"/>
                <w:szCs w:val="21"/>
              </w:rPr>
              <w:t>保障职工带薪年休假权利。</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5社会保险与福利</w:t>
            </w:r>
          </w:p>
          <w:p>
            <w:pPr>
              <w:widowControl/>
              <w:spacing w:line="300" w:lineRule="exact"/>
              <w:jc w:val="center"/>
              <w:rPr>
                <w:rFonts w:ascii="Times New Roman" w:hAnsi="Times New Roman"/>
                <w:szCs w:val="21"/>
              </w:rPr>
            </w:pPr>
            <w:r>
              <w:rPr>
                <w:rFonts w:ascii="Times New Roman" w:hAnsi="Times New Roman"/>
                <w:szCs w:val="21"/>
              </w:rPr>
              <w:t>（9分）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5.1 缴纳费用</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4分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履行社会保险登记、申报义务；</w:t>
            </w:r>
            <w:r>
              <w:rPr>
                <w:rFonts w:hint="eastAsia" w:ascii="宋体" w:hAnsi="宋体" w:cs="宋体"/>
                <w:szCs w:val="21"/>
              </w:rPr>
              <w:t>②</w:t>
            </w:r>
            <w:r>
              <w:rPr>
                <w:rFonts w:ascii="Times New Roman" w:hAnsi="Times New Roman"/>
                <w:szCs w:val="21"/>
              </w:rPr>
              <w:t>依法按时足额缴纳各项社会保险费；</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各2分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5.2 补充保险</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1分</w:t>
            </w: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具备条件的企业建立以企业年金为主要形式的补充保险制度。</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5.3住房公积金</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执行职工住房公积金规定；</w:t>
            </w:r>
            <w:r>
              <w:rPr>
                <w:rFonts w:hint="eastAsia" w:ascii="宋体" w:hAnsi="宋体" w:cs="宋体"/>
                <w:szCs w:val="21"/>
              </w:rPr>
              <w:t>②</w:t>
            </w:r>
            <w:r>
              <w:rPr>
                <w:rFonts w:ascii="Times New Roman" w:hAnsi="Times New Roman"/>
                <w:szCs w:val="21"/>
              </w:rPr>
              <w:t>及时为职工缴纳住房公积金。</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5.4职工福利</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依法足额提取和使用职工福利费。</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2分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6劳动安全卫生（6分）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6.1安全制度</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建立健全安全生产规章制度、职业卫生管理制度和事故应急预案；</w:t>
            </w:r>
            <w:r>
              <w:rPr>
                <w:rFonts w:hint="eastAsia" w:ascii="宋体" w:hAnsi="宋体" w:cs="宋体"/>
                <w:szCs w:val="21"/>
              </w:rPr>
              <w:t>②</w:t>
            </w:r>
            <w:r>
              <w:rPr>
                <w:rFonts w:ascii="Times New Roman" w:hAnsi="Times New Roman"/>
                <w:szCs w:val="21"/>
              </w:rPr>
              <w:t>履行安全生产主体责任。</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hint="eastAsia" w:ascii="Times New Roman" w:hAnsi="Times New Roman"/>
                <w:szCs w:val="21"/>
              </w:rPr>
            </w:pPr>
            <w:r>
              <w:rPr>
                <w:rFonts w:ascii="Times New Roman" w:hAnsi="Times New Roman"/>
                <w:szCs w:val="21"/>
              </w:rPr>
              <w:t>6.2安全生产</w:t>
            </w:r>
          </w:p>
          <w:p>
            <w:pPr>
              <w:widowControl/>
              <w:spacing w:line="300" w:lineRule="exact"/>
              <w:jc w:val="center"/>
              <w:rPr>
                <w:rFonts w:ascii="Times New Roman" w:hAnsi="Times New Roman"/>
                <w:szCs w:val="21"/>
              </w:rPr>
            </w:pPr>
            <w:r>
              <w:rPr>
                <w:rFonts w:ascii="Times New Roman" w:hAnsi="Times New Roman"/>
                <w:szCs w:val="21"/>
              </w:rPr>
              <w:t>条件</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执行国家劳动安全卫生保护标准，提供符合国家规定的劳动安全卫生条件和劳动保护用品。</w:t>
            </w:r>
            <w:r>
              <w:rPr>
                <w:rFonts w:hint="eastAsia" w:ascii="宋体" w:hAnsi="宋体" w:cs="宋体"/>
                <w:szCs w:val="21"/>
              </w:rPr>
              <w:t>②</w:t>
            </w:r>
            <w:r>
              <w:rPr>
                <w:rFonts w:ascii="Times New Roman" w:hAnsi="Times New Roman"/>
                <w:szCs w:val="21"/>
              </w:rPr>
              <w:t>开展职工安全教育培训，按照规定持证上岗。</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6.3职业卫生</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落实女职工和未成年工特殊保护措施。</w:t>
            </w:r>
            <w:r>
              <w:rPr>
                <w:rFonts w:hint="eastAsia" w:ascii="宋体" w:hAnsi="宋体" w:cs="宋体"/>
                <w:szCs w:val="21"/>
              </w:rPr>
              <w:t>②</w:t>
            </w:r>
            <w:r>
              <w:rPr>
                <w:rFonts w:ascii="Times New Roman" w:hAnsi="Times New Roman"/>
                <w:szCs w:val="21"/>
              </w:rPr>
              <w:t>定期组织健康检查。</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7集体协商</w:t>
            </w:r>
          </w:p>
          <w:p>
            <w:pPr>
              <w:widowControl/>
              <w:spacing w:line="300" w:lineRule="exact"/>
              <w:jc w:val="center"/>
              <w:rPr>
                <w:rFonts w:ascii="Times New Roman" w:hAnsi="Times New Roman"/>
                <w:szCs w:val="21"/>
              </w:rPr>
            </w:pPr>
            <w:r>
              <w:rPr>
                <w:rFonts w:ascii="Times New Roman" w:hAnsi="Times New Roman"/>
                <w:szCs w:val="21"/>
              </w:rPr>
              <w:t>与集体合同（8分）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7.1集体协商</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4分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企业建立常态化集体协商机制，每年至少开展1次集体协商；</w:t>
            </w:r>
            <w:r>
              <w:rPr>
                <w:rFonts w:hint="eastAsia" w:ascii="宋体" w:hAnsi="宋体" w:cs="宋体"/>
                <w:szCs w:val="21"/>
              </w:rPr>
              <w:t>②</w:t>
            </w:r>
            <w:r>
              <w:rPr>
                <w:rFonts w:ascii="Times New Roman" w:hAnsi="Times New Roman"/>
                <w:szCs w:val="21"/>
              </w:rPr>
              <w:t>企业确定劳动报酬、劳动合同管理、奖惩与裁员事项均事先与职工进行集体协商；</w:t>
            </w:r>
            <w:r>
              <w:rPr>
                <w:rFonts w:hint="eastAsia" w:ascii="宋体" w:hAnsi="宋体" w:cs="宋体"/>
                <w:szCs w:val="21"/>
              </w:rPr>
              <w:t>③</w:t>
            </w:r>
            <w:r>
              <w:rPr>
                <w:rFonts w:ascii="Times New Roman" w:hAnsi="Times New Roman"/>
                <w:szCs w:val="21"/>
              </w:rPr>
              <w:t>协商结果和理由依法向职工公布；</w:t>
            </w:r>
            <w:r>
              <w:rPr>
                <w:rFonts w:hint="eastAsia" w:ascii="宋体" w:hAnsi="宋体" w:cs="宋体"/>
                <w:szCs w:val="21"/>
              </w:rPr>
              <w:t>④</w:t>
            </w:r>
            <w:r>
              <w:rPr>
                <w:rFonts w:ascii="Times New Roman" w:hAnsi="Times New Roman"/>
                <w:szCs w:val="21"/>
              </w:rPr>
              <w:t>企业发生重大劳动关系调整事项时能够开展集体协商；</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①②③④</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7.2集体合同</w:t>
            </w:r>
          </w:p>
        </w:tc>
        <w:tc>
          <w:tcPr>
            <w:tcW w:w="850"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4分</w:t>
            </w:r>
          </w:p>
        </w:tc>
        <w:tc>
          <w:tcPr>
            <w:tcW w:w="8479" w:type="dxa"/>
            <w:vMerge w:val="restart"/>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依法签订集体合同（工资、劳动安全卫生、女职工特殊保护专项集体合同等）；</w:t>
            </w:r>
            <w:r>
              <w:rPr>
                <w:rFonts w:hint="eastAsia" w:ascii="宋体" w:hAnsi="宋体" w:cs="宋体"/>
                <w:szCs w:val="21"/>
              </w:rPr>
              <w:t>②</w:t>
            </w:r>
            <w:r>
              <w:rPr>
                <w:rFonts w:ascii="Times New Roman" w:hAnsi="Times New Roman"/>
                <w:szCs w:val="21"/>
              </w:rPr>
              <w:t>集体合同按照规定时限报送劳动行政部门审查；</w:t>
            </w:r>
            <w:r>
              <w:rPr>
                <w:rFonts w:hint="eastAsia" w:ascii="宋体" w:hAnsi="宋体" w:cs="宋体"/>
                <w:szCs w:val="21"/>
              </w:rPr>
              <w:t>③</w:t>
            </w:r>
            <w:r>
              <w:rPr>
                <w:rFonts w:ascii="Times New Roman" w:hAnsi="Times New Roman"/>
                <w:szCs w:val="21"/>
              </w:rPr>
              <w:t>生效的集体合同及时向职工公示；</w:t>
            </w:r>
            <w:r>
              <w:rPr>
                <w:rFonts w:hint="eastAsia" w:ascii="宋体" w:hAnsi="宋体" w:cs="宋体"/>
                <w:szCs w:val="21"/>
              </w:rPr>
              <w:t>④</w:t>
            </w:r>
            <w:r>
              <w:rPr>
                <w:rFonts w:ascii="Times New Roman" w:hAnsi="Times New Roman"/>
                <w:szCs w:val="21"/>
              </w:rPr>
              <w:t>依法全面履行集体合同，每年至少一次将履行集体合同情况向职工（代表）大会报告。</w:t>
            </w:r>
          </w:p>
        </w:tc>
        <w:tc>
          <w:tcPr>
            <w:tcW w:w="1332" w:type="dxa"/>
            <w:vMerge w:val="restart"/>
            <w:vAlign w:val="center"/>
          </w:tcPr>
          <w:p>
            <w:pPr>
              <w:widowControl/>
              <w:spacing w:line="300" w:lineRule="exact"/>
              <w:rPr>
                <w:rFonts w:ascii="Times New Roman" w:hAnsi="Times New Roman"/>
                <w:szCs w:val="21"/>
              </w:rPr>
            </w:pPr>
            <w:r>
              <w:rPr>
                <w:rFonts w:hint="eastAsia" w:ascii="宋体" w:hAnsi="宋体" w:cs="宋体"/>
                <w:szCs w:val="21"/>
              </w:rPr>
              <w:t>①②③④</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Merge w:val="continue"/>
            <w:vAlign w:val="center"/>
          </w:tcPr>
          <w:p>
            <w:pPr>
              <w:widowControl/>
              <w:spacing w:line="300" w:lineRule="exact"/>
              <w:jc w:val="center"/>
              <w:rPr>
                <w:rFonts w:ascii="Times New Roman" w:hAnsi="Times New Roman"/>
                <w:szCs w:val="21"/>
              </w:rPr>
            </w:pPr>
          </w:p>
        </w:tc>
        <w:tc>
          <w:tcPr>
            <w:tcW w:w="850" w:type="dxa"/>
            <w:vMerge w:val="continue"/>
            <w:vAlign w:val="center"/>
          </w:tcPr>
          <w:p>
            <w:pPr>
              <w:widowControl/>
              <w:spacing w:line="300" w:lineRule="exact"/>
              <w:jc w:val="center"/>
              <w:rPr>
                <w:rFonts w:ascii="Times New Roman" w:hAnsi="Times New Roman"/>
                <w:szCs w:val="21"/>
              </w:rPr>
            </w:pPr>
          </w:p>
        </w:tc>
        <w:tc>
          <w:tcPr>
            <w:tcW w:w="8479" w:type="dxa"/>
            <w:vMerge w:val="continue"/>
            <w:vAlign w:val="center"/>
          </w:tcPr>
          <w:p>
            <w:pPr>
              <w:widowControl/>
              <w:spacing w:line="300" w:lineRule="exact"/>
              <w:rPr>
                <w:rFonts w:ascii="Times New Roman" w:hAnsi="Times New Roman"/>
                <w:szCs w:val="21"/>
              </w:rPr>
            </w:pPr>
          </w:p>
        </w:tc>
        <w:tc>
          <w:tcPr>
            <w:tcW w:w="1332" w:type="dxa"/>
            <w:vMerge w:val="continue"/>
            <w:vAlign w:val="center"/>
          </w:tcPr>
          <w:p>
            <w:pPr>
              <w:widowControl/>
              <w:spacing w:line="300" w:lineRule="exact"/>
              <w:rPr>
                <w:rFonts w:ascii="Times New Roman" w:hAnsi="Times New Roman"/>
                <w:szCs w:val="21"/>
              </w:rPr>
            </w:pP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8工会建设与民主管理（8分）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8.1组织健全</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3分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依法建立工会及专业委员会，工会具备社会团体法人资格。</w:t>
            </w:r>
            <w:r>
              <w:rPr>
                <w:rFonts w:hint="eastAsia" w:ascii="宋体" w:hAnsi="宋体" w:cs="宋体"/>
                <w:szCs w:val="21"/>
              </w:rPr>
              <w:t>②</w:t>
            </w:r>
            <w:r>
              <w:rPr>
                <w:rFonts w:ascii="Times New Roman" w:hAnsi="Times New Roman"/>
                <w:szCs w:val="21"/>
              </w:rPr>
              <w:t>依法保障工会工作的人员、时间、场所；</w:t>
            </w:r>
            <w:r>
              <w:rPr>
                <w:rFonts w:hint="eastAsia" w:ascii="宋体" w:hAnsi="宋体" w:cs="宋体"/>
                <w:szCs w:val="21"/>
              </w:rPr>
              <w:t>③</w:t>
            </w:r>
            <w:r>
              <w:rPr>
                <w:rFonts w:ascii="Times New Roman" w:hAnsi="Times New Roman"/>
                <w:szCs w:val="21"/>
              </w:rPr>
              <w:t>按时足额拨缴工会经费。</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8.2民主管理</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5分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建立职工（代表）大会制度；</w:t>
            </w:r>
            <w:r>
              <w:rPr>
                <w:rFonts w:hint="eastAsia" w:ascii="宋体" w:hAnsi="宋体" w:cs="宋体"/>
                <w:szCs w:val="21"/>
              </w:rPr>
              <w:t>②</w:t>
            </w:r>
            <w:r>
              <w:rPr>
                <w:rFonts w:ascii="Times New Roman" w:hAnsi="Times New Roman"/>
                <w:szCs w:val="21"/>
              </w:rPr>
              <w:t>建立厂务公开制度，</w:t>
            </w:r>
            <w:r>
              <w:rPr>
                <w:rFonts w:hint="eastAsia" w:ascii="宋体" w:hAnsi="宋体" w:cs="宋体"/>
                <w:szCs w:val="21"/>
              </w:rPr>
              <w:t>③</w:t>
            </w:r>
            <w:r>
              <w:rPr>
                <w:rFonts w:ascii="Times New Roman" w:hAnsi="Times New Roman"/>
                <w:szCs w:val="21"/>
              </w:rPr>
              <w:t>有固定公开栏及其它公开形式；</w:t>
            </w:r>
            <w:r>
              <w:rPr>
                <w:rFonts w:hint="eastAsia" w:ascii="宋体" w:hAnsi="宋体" w:cs="宋体"/>
                <w:szCs w:val="21"/>
              </w:rPr>
              <w:t>④</w:t>
            </w:r>
            <w:r>
              <w:rPr>
                <w:rFonts w:ascii="Times New Roman" w:hAnsi="Times New Roman"/>
                <w:szCs w:val="21"/>
              </w:rPr>
              <w:t>公开内容全面、真实、及时；</w:t>
            </w:r>
            <w:r>
              <w:rPr>
                <w:rFonts w:hint="eastAsia" w:ascii="宋体" w:hAnsi="宋体" w:cs="宋体"/>
                <w:szCs w:val="21"/>
              </w:rPr>
              <w:t>⑤</w:t>
            </w:r>
            <w:r>
              <w:rPr>
                <w:rFonts w:ascii="Times New Roman" w:hAnsi="Times New Roman"/>
                <w:szCs w:val="21"/>
              </w:rPr>
              <w:t>公司制企业依法建立职工董事、职工监事制度。</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①②③④⑤</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9争议调处（8分）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9.1人员队伍</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3分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配备适合工作需要的劳动关系协调员；</w:t>
            </w:r>
            <w:r>
              <w:rPr>
                <w:rFonts w:hint="eastAsia" w:ascii="宋体" w:hAnsi="宋体" w:cs="宋体"/>
                <w:szCs w:val="21"/>
              </w:rPr>
              <w:t>②</w:t>
            </w:r>
            <w:r>
              <w:rPr>
                <w:rFonts w:ascii="Times New Roman" w:hAnsi="Times New Roman"/>
                <w:szCs w:val="21"/>
              </w:rPr>
              <w:t>有金牌劳动关系协调员或该职业省市技术能手；</w:t>
            </w:r>
            <w:r>
              <w:rPr>
                <w:rFonts w:hint="eastAsia" w:ascii="宋体" w:hAnsi="宋体" w:cs="宋体"/>
                <w:szCs w:val="21"/>
              </w:rPr>
              <w:t>③</w:t>
            </w:r>
            <w:r>
              <w:rPr>
                <w:rFonts w:ascii="Times New Roman" w:hAnsi="Times New Roman"/>
                <w:szCs w:val="21"/>
              </w:rPr>
              <w:t>组织劳动关系协调员参与和谐创建活动并发挥其作用。</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9.2调解组织</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建立劳动争议调解组织和制度；</w:t>
            </w:r>
            <w:r>
              <w:rPr>
                <w:rFonts w:hint="eastAsia" w:ascii="宋体" w:hAnsi="宋体" w:cs="宋体"/>
                <w:szCs w:val="21"/>
              </w:rPr>
              <w:t>②</w:t>
            </w:r>
            <w:r>
              <w:rPr>
                <w:rFonts w:ascii="Times New Roman" w:hAnsi="Times New Roman"/>
                <w:szCs w:val="21"/>
              </w:rPr>
              <w:t>调解组织人员组成结构合法。</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9.3沟通渠道</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职工诉求表达制度健全、渠道畅通；</w:t>
            </w:r>
            <w:r>
              <w:rPr>
                <w:rFonts w:hint="eastAsia" w:ascii="宋体" w:hAnsi="宋体" w:cs="宋体"/>
                <w:szCs w:val="21"/>
              </w:rPr>
              <w:t>②</w:t>
            </w:r>
            <w:r>
              <w:rPr>
                <w:rFonts w:ascii="Times New Roman" w:hAnsi="Times New Roman"/>
                <w:szCs w:val="21"/>
              </w:rPr>
              <w:t>无企业原因引发的职工越级上访。</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9.4调处有效</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1分</w:t>
            </w: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劳动争议调解及时有效，劳动争议调解率达80%以上。</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10企业文化与社会责任（10分）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10.1企业文化</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以社会主义核心价值观为引领，培育企业关爱职工、职工爱岗爱企、双方协商共事、合作共赢、发展共享的和谐文化理念。在生产管理中有明确载体和具体体现；</w:t>
            </w:r>
            <w:r>
              <w:rPr>
                <w:rFonts w:hint="eastAsia" w:ascii="宋体" w:hAnsi="宋体" w:cs="宋体"/>
                <w:szCs w:val="21"/>
              </w:rPr>
              <w:t>②</w:t>
            </w:r>
            <w:r>
              <w:rPr>
                <w:rFonts w:ascii="Times New Roman" w:hAnsi="Times New Roman"/>
                <w:szCs w:val="21"/>
              </w:rPr>
              <w:t>企业加强诚信建设，劳动者和企业诚信履约。</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10.2职工培训</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3</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组织开展在岗培训、脱产培训、业务研修、技能竞赛等形式多样的培训活动；</w:t>
            </w:r>
            <w:r>
              <w:rPr>
                <w:rFonts w:hint="eastAsia" w:ascii="宋体" w:hAnsi="宋体" w:cs="宋体"/>
                <w:szCs w:val="21"/>
              </w:rPr>
              <w:t>②</w:t>
            </w:r>
            <w:r>
              <w:rPr>
                <w:rFonts w:ascii="Times New Roman" w:hAnsi="Times New Roman"/>
                <w:szCs w:val="21"/>
              </w:rPr>
              <w:t>支持职工参加学历教育或继续教育。</w:t>
            </w:r>
            <w:r>
              <w:rPr>
                <w:rFonts w:hint="eastAsia" w:ascii="宋体" w:hAnsi="宋体" w:cs="宋体"/>
                <w:szCs w:val="21"/>
              </w:rPr>
              <w:t>③</w:t>
            </w:r>
            <w:r>
              <w:rPr>
                <w:rFonts w:ascii="Times New Roman" w:hAnsi="Times New Roman"/>
                <w:szCs w:val="21"/>
              </w:rPr>
              <w:t>依法提取和使用职工教育培训经费。</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10.3人文关怀</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创建“模范职工之家”；</w:t>
            </w:r>
            <w:r>
              <w:rPr>
                <w:rFonts w:hint="eastAsia" w:ascii="宋体" w:hAnsi="宋体" w:cs="宋体"/>
                <w:szCs w:val="21"/>
              </w:rPr>
              <w:t>②</w:t>
            </w:r>
            <w:r>
              <w:rPr>
                <w:rFonts w:ascii="Times New Roman" w:hAnsi="Times New Roman"/>
                <w:szCs w:val="21"/>
              </w:rPr>
              <w:t>有职工文体活动场所并正常开放，定期集中组织开展职工文体活动。</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10.4社会责任</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3分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参加慈善捐助和社会公益事业；</w:t>
            </w:r>
            <w:r>
              <w:rPr>
                <w:rFonts w:hint="eastAsia" w:ascii="宋体" w:hAnsi="宋体" w:cs="宋体"/>
                <w:szCs w:val="21"/>
              </w:rPr>
              <w:t>②</w:t>
            </w:r>
            <w:r>
              <w:rPr>
                <w:rFonts w:ascii="Times New Roman" w:hAnsi="Times New Roman"/>
                <w:szCs w:val="21"/>
              </w:rPr>
              <w:t>符合国家环境保护、节能减排规定，无损害企业形象的事件发生。</w:t>
            </w:r>
            <w:r>
              <w:rPr>
                <w:rFonts w:hint="eastAsia" w:ascii="宋体" w:hAnsi="宋体" w:cs="宋体"/>
                <w:szCs w:val="21"/>
              </w:rPr>
              <w:t>③</w:t>
            </w:r>
            <w:r>
              <w:rPr>
                <w:rFonts w:ascii="Times New Roman" w:hAnsi="Times New Roman"/>
                <w:szCs w:val="21"/>
              </w:rPr>
              <w:t>如实报告本企业经济性裁员或不裁员。</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46" w:type="dxa"/>
            <w:vAlign w:val="center"/>
          </w:tcPr>
          <w:p>
            <w:pPr>
              <w:widowControl/>
              <w:spacing w:line="300" w:lineRule="exact"/>
              <w:jc w:val="center"/>
              <w:rPr>
                <w:rFonts w:ascii="Times New Roman" w:hAnsi="Times New Roman"/>
                <w:szCs w:val="21"/>
              </w:rPr>
            </w:pPr>
            <w:r>
              <w:rPr>
                <w:rFonts w:ascii="Times New Roman" w:hAnsi="Times New Roman"/>
                <w:szCs w:val="21"/>
              </w:rPr>
              <w:t>11党组织建设（6）</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11.1组织健全</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6分</w:t>
            </w:r>
          </w:p>
        </w:tc>
        <w:tc>
          <w:tcPr>
            <w:tcW w:w="8479" w:type="dxa"/>
            <w:vAlign w:val="center"/>
          </w:tcPr>
          <w:p>
            <w:pPr>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企业党组织健全。</w:t>
            </w:r>
            <w:r>
              <w:rPr>
                <w:rFonts w:hint="eastAsia" w:ascii="宋体" w:hAnsi="宋体" w:cs="宋体"/>
                <w:szCs w:val="21"/>
              </w:rPr>
              <w:t>②</w:t>
            </w:r>
            <w:r>
              <w:rPr>
                <w:rFonts w:ascii="Times New Roman" w:hAnsi="Times New Roman"/>
                <w:szCs w:val="21"/>
              </w:rPr>
              <w:t>在创建活动中，组织职工、宣传职工、凝聚职工、服务职工的职能作用发挥充分。</w:t>
            </w:r>
            <w:r>
              <w:rPr>
                <w:rFonts w:hint="eastAsia" w:ascii="宋体" w:hAnsi="宋体" w:cs="宋体"/>
                <w:szCs w:val="21"/>
              </w:rPr>
              <w:t>③</w:t>
            </w:r>
            <w:r>
              <w:rPr>
                <w:rFonts w:ascii="Times New Roman" w:hAnsi="Times New Roman"/>
                <w:szCs w:val="21"/>
              </w:rPr>
              <w:t>党员先锋模范作用有效发挥。</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w:t>
            </w:r>
            <w:r>
              <w:rPr>
                <w:rFonts w:ascii="Times New Roman" w:hAnsi="Times New Roman"/>
                <w:szCs w:val="21"/>
              </w:rPr>
              <w:t>各2分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12职工综合满意度</w:t>
            </w:r>
          </w:p>
          <w:p>
            <w:pPr>
              <w:widowControl/>
              <w:spacing w:line="300" w:lineRule="exact"/>
              <w:jc w:val="center"/>
              <w:rPr>
                <w:rFonts w:ascii="Times New Roman" w:hAnsi="Times New Roman"/>
                <w:szCs w:val="21"/>
              </w:rPr>
            </w:pPr>
            <w:r>
              <w:rPr>
                <w:rFonts w:ascii="Times New Roman" w:hAnsi="Times New Roman"/>
                <w:szCs w:val="21"/>
              </w:rPr>
              <w:t>（10分）</w:t>
            </w:r>
          </w:p>
        </w:tc>
        <w:tc>
          <w:tcPr>
            <w:tcW w:w="1560"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12.1民主测评</w:t>
            </w:r>
          </w:p>
        </w:tc>
        <w:tc>
          <w:tcPr>
            <w:tcW w:w="850"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10分</w:t>
            </w: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90%及以上职工对企业劳动关系状况满意。</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10分</w:t>
            </w:r>
          </w:p>
        </w:tc>
        <w:tc>
          <w:tcPr>
            <w:tcW w:w="814" w:type="dxa"/>
            <w:vMerge w:val="restart"/>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rPr>
                <w:rFonts w:ascii="Times New Roman" w:hAnsi="Times New Roman"/>
                <w:szCs w:val="21"/>
              </w:rPr>
            </w:pPr>
          </w:p>
        </w:tc>
        <w:tc>
          <w:tcPr>
            <w:tcW w:w="1560" w:type="dxa"/>
            <w:vMerge w:val="continue"/>
            <w:vAlign w:val="center"/>
          </w:tcPr>
          <w:p>
            <w:pPr>
              <w:widowControl/>
              <w:spacing w:line="300" w:lineRule="exact"/>
              <w:rPr>
                <w:rFonts w:ascii="Times New Roman" w:hAnsi="Times New Roman"/>
                <w:szCs w:val="21"/>
              </w:rPr>
            </w:pPr>
          </w:p>
        </w:tc>
        <w:tc>
          <w:tcPr>
            <w:tcW w:w="850" w:type="dxa"/>
            <w:vMerge w:val="continue"/>
            <w:vAlign w:val="center"/>
          </w:tcPr>
          <w:p>
            <w:pPr>
              <w:widowControl/>
              <w:spacing w:line="300" w:lineRule="exact"/>
              <w:rPr>
                <w:rFonts w:ascii="Times New Roman" w:hAnsi="Times New Roman"/>
                <w:szCs w:val="21"/>
              </w:rPr>
            </w:pP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80%-89%的职工对企业劳动关系状况满意。</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8分</w:t>
            </w:r>
          </w:p>
        </w:tc>
        <w:tc>
          <w:tcPr>
            <w:tcW w:w="814" w:type="dxa"/>
            <w:vMerge w:val="continue"/>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rPr>
                <w:rFonts w:ascii="Times New Roman" w:hAnsi="Times New Roman"/>
                <w:szCs w:val="21"/>
              </w:rPr>
            </w:pPr>
          </w:p>
        </w:tc>
        <w:tc>
          <w:tcPr>
            <w:tcW w:w="1560" w:type="dxa"/>
            <w:vMerge w:val="continue"/>
            <w:vAlign w:val="center"/>
          </w:tcPr>
          <w:p>
            <w:pPr>
              <w:widowControl/>
              <w:spacing w:line="300" w:lineRule="exact"/>
              <w:rPr>
                <w:rFonts w:ascii="Times New Roman" w:hAnsi="Times New Roman"/>
                <w:szCs w:val="21"/>
              </w:rPr>
            </w:pPr>
          </w:p>
        </w:tc>
        <w:tc>
          <w:tcPr>
            <w:tcW w:w="850" w:type="dxa"/>
            <w:vMerge w:val="continue"/>
            <w:vAlign w:val="center"/>
          </w:tcPr>
          <w:p>
            <w:pPr>
              <w:widowControl/>
              <w:spacing w:line="300" w:lineRule="exact"/>
              <w:rPr>
                <w:rFonts w:ascii="Times New Roman" w:hAnsi="Times New Roman"/>
                <w:szCs w:val="21"/>
              </w:rPr>
            </w:pP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70%-79%的职工对企业劳动关系状况满意。</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5分</w:t>
            </w:r>
          </w:p>
        </w:tc>
        <w:tc>
          <w:tcPr>
            <w:tcW w:w="814" w:type="dxa"/>
            <w:vMerge w:val="continue"/>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346" w:type="dxa"/>
            <w:vMerge w:val="continue"/>
            <w:vAlign w:val="center"/>
          </w:tcPr>
          <w:p>
            <w:pPr>
              <w:widowControl/>
              <w:spacing w:line="300" w:lineRule="exact"/>
              <w:rPr>
                <w:rFonts w:ascii="Times New Roman" w:hAnsi="Times New Roman"/>
                <w:szCs w:val="21"/>
              </w:rPr>
            </w:pPr>
          </w:p>
        </w:tc>
        <w:tc>
          <w:tcPr>
            <w:tcW w:w="1560" w:type="dxa"/>
            <w:vMerge w:val="continue"/>
            <w:vAlign w:val="center"/>
          </w:tcPr>
          <w:p>
            <w:pPr>
              <w:widowControl/>
              <w:spacing w:line="300" w:lineRule="exact"/>
              <w:rPr>
                <w:rFonts w:ascii="Times New Roman" w:hAnsi="Times New Roman"/>
                <w:szCs w:val="21"/>
              </w:rPr>
            </w:pPr>
          </w:p>
        </w:tc>
        <w:tc>
          <w:tcPr>
            <w:tcW w:w="850" w:type="dxa"/>
            <w:vMerge w:val="continue"/>
            <w:vAlign w:val="center"/>
          </w:tcPr>
          <w:p>
            <w:pPr>
              <w:widowControl/>
              <w:spacing w:line="300" w:lineRule="exact"/>
              <w:rPr>
                <w:rFonts w:ascii="Times New Roman" w:hAnsi="Times New Roman"/>
                <w:szCs w:val="21"/>
              </w:rPr>
            </w:pP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70%以下职工对企业劳动关系状况满意。</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0分</w:t>
            </w:r>
          </w:p>
        </w:tc>
        <w:tc>
          <w:tcPr>
            <w:tcW w:w="814" w:type="dxa"/>
            <w:vMerge w:val="continue"/>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6" w:type="dxa"/>
            <w:vAlign w:val="center"/>
          </w:tcPr>
          <w:p>
            <w:pPr>
              <w:widowControl/>
              <w:spacing w:line="300" w:lineRule="exact"/>
              <w:jc w:val="center"/>
              <w:rPr>
                <w:rFonts w:hint="eastAsia" w:ascii="Times New Roman" w:hAnsi="Times New Roman"/>
                <w:szCs w:val="21"/>
              </w:rPr>
            </w:pPr>
            <w:r>
              <w:rPr>
                <w:rFonts w:ascii="Times New Roman" w:hAnsi="Times New Roman"/>
                <w:szCs w:val="21"/>
              </w:rPr>
              <w:t>13</w:t>
            </w:r>
            <w:r>
              <w:rPr>
                <w:rFonts w:hint="eastAsia" w:ascii="Times New Roman" w:hAnsi="Times New Roman"/>
                <w:szCs w:val="21"/>
              </w:rPr>
              <w:t>负面清单</w:t>
            </w:r>
          </w:p>
        </w:tc>
        <w:tc>
          <w:tcPr>
            <w:tcW w:w="1560" w:type="dxa"/>
            <w:vAlign w:val="center"/>
          </w:tcPr>
          <w:p>
            <w:pPr>
              <w:widowControl/>
              <w:spacing w:line="300" w:lineRule="exact"/>
              <w:rPr>
                <w:rFonts w:ascii="Times New Roman" w:hAnsi="Times New Roman"/>
                <w:szCs w:val="21"/>
              </w:rPr>
            </w:pPr>
          </w:p>
        </w:tc>
        <w:tc>
          <w:tcPr>
            <w:tcW w:w="850" w:type="dxa"/>
            <w:vAlign w:val="center"/>
          </w:tcPr>
          <w:p>
            <w:pPr>
              <w:widowControl/>
              <w:spacing w:line="300" w:lineRule="exact"/>
              <w:rPr>
                <w:rFonts w:ascii="Times New Roman" w:hAnsi="Times New Roman"/>
                <w:szCs w:val="21"/>
              </w:rPr>
            </w:pP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当期发生安全生产事故或职业危害事故。</w:t>
            </w:r>
          </w:p>
          <w:p>
            <w:pPr>
              <w:widowControl/>
              <w:spacing w:line="300" w:lineRule="exact"/>
              <w:rPr>
                <w:rFonts w:ascii="Times New Roman" w:hAnsi="Times New Roman"/>
                <w:szCs w:val="21"/>
              </w:rPr>
            </w:pPr>
            <w:r>
              <w:rPr>
                <w:rFonts w:hint="eastAsia" w:ascii="宋体" w:hAnsi="宋体" w:cs="宋体"/>
                <w:szCs w:val="21"/>
              </w:rPr>
              <w:t>②</w:t>
            </w:r>
            <w:r>
              <w:rPr>
                <w:rFonts w:ascii="Times New Roman" w:hAnsi="Times New Roman"/>
                <w:szCs w:val="21"/>
              </w:rPr>
              <w:t>当期发生劳动关系群体性、突发性事件。</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各-100分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bl>
    <w:p>
      <w:r>
        <w:rPr>
          <w:rFonts w:ascii="Times New Roman" w:hAnsi="Times New Roman"/>
          <w:szCs w:val="21"/>
        </w:rPr>
        <w:t>备注：企业自评分在9</w:t>
      </w:r>
      <w:r>
        <w:rPr>
          <w:rFonts w:ascii="Times New Roman" w:hAnsi="Times New Roman"/>
          <w:szCs w:val="21"/>
          <w:lang w:val="en"/>
        </w:rPr>
        <w:t>0</w:t>
      </w:r>
      <w:r>
        <w:rPr>
          <w:rFonts w:ascii="Times New Roman" w:hAnsi="Times New Roman"/>
          <w:szCs w:val="21"/>
        </w:rPr>
        <w:t>分及以上的，可申报和谐劳动关系创建示范企业</w:t>
      </w:r>
      <w:r>
        <w:rPr>
          <w:rFonts w:ascii="Times New Roman" w:hAnsi="Times New Roman" w:eastAsia="方正仿宋_GBK"/>
          <w:sz w:val="28"/>
          <w:szCs w:val="28"/>
        </w:rPr>
        <w:t>。</w:t>
      </w:r>
      <w:r>
        <w:rPr>
          <w:rFonts w:ascii="Times New Roman" w:hAnsi="Times New Roman" w:eastAsia="方正仿宋_GBK"/>
          <w:sz w:val="28"/>
          <w:szCs w:val="28"/>
        </w:rPr>
        <w:br w:type="page"/>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Arial Unicode MS"/>
    <w:panose1 w:val="00000000000000000000"/>
    <w:charset w:val="00"/>
    <w:family w:val="auto"/>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CD572"/>
    <w:multiLevelType w:val="singleLevel"/>
    <w:tmpl w:val="EDFCD572"/>
    <w:lvl w:ilvl="0" w:tentative="0">
      <w:start w:val="2"/>
      <w:numFmt w:val="chineseCounting"/>
      <w:pStyle w:val="6"/>
      <w:suff w:val="nothing"/>
      <w:lvlText w:val="%1、"/>
      <w:lvlJc w:val="left"/>
      <w:rPr>
        <w:rFonts w:hint="eastAsia"/>
      </w:rPr>
    </w:lvl>
  </w:abstractNum>
  <w:abstractNum w:abstractNumId="1">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OWFmNDQ5N2Y1MGE0YTlmZGEzOWI2YWFhZDI1ODMifQ=="/>
  </w:docVars>
  <w:rsids>
    <w:rsidRoot w:val="5911411A"/>
    <w:rsid w:val="59114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after="120"/>
    </w:pPr>
    <w:rPr>
      <w:rFonts w:ascii="Calibri" w:hAnsi="Calibri" w:eastAsia="宋体" w:cs="Times New Roman"/>
    </w:rPr>
  </w:style>
  <w:style w:type="paragraph" w:styleId="3">
    <w:name w:val="footer"/>
    <w:basedOn w:val="1"/>
    <w:qFormat/>
    <w:uiPriority w:val="0"/>
    <w:pPr>
      <w:tabs>
        <w:tab w:val="center" w:pos="4153"/>
        <w:tab w:val="right" w:pos="8306"/>
      </w:tabs>
    </w:pPr>
    <w:rPr>
      <w:rFonts w:ascii="Calibri" w:hAnsi="Calibri" w:eastAsia="宋体" w:cs="Times New Roman"/>
      <w:sz w:val="18"/>
    </w:rPr>
  </w:style>
  <w:style w:type="paragraph" w:customStyle="1" w:styleId="6">
    <w:name w:val="附录表标号"/>
    <w:basedOn w:val="1"/>
    <w:next w:val="1"/>
    <w:qFormat/>
    <w:uiPriority w:val="0"/>
    <w:pPr>
      <w:numPr>
        <w:ilvl w:val="0"/>
        <w:numId w:val="1"/>
      </w:numPr>
      <w:autoSpaceDE w:val="0"/>
      <w:autoSpaceDN w:val="0"/>
      <w:snapToGrid w:val="0"/>
      <w:spacing w:line="14" w:lineRule="exact"/>
      <w:ind w:left="811" w:hanging="448"/>
      <w:jc w:val="center"/>
      <w:outlineLvl w:val="0"/>
    </w:pPr>
    <w:rPr>
      <w:rFonts w:ascii="Times New Roman" w:hAnsi="Times New Roman" w:eastAsia="方正仿宋简体" w:cs="Times New Roman"/>
      <w:color w:val="FFFFFF"/>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2023-04-23T02:21:00Z</dcterms:created>
  <dc:creator>四驱小蜗牛</dc:creator>
  <cp:lastModifiedBy>四驱小蜗牛</cp:lastModifiedBy>
  <dcterms:modified xsi:type="dcterms:W3CDTF">2023-04-23T02:21:41Z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B47F64EB86FB4C588A6296EFCE86516E_11</vt:lpwstr>
  </property>
</Properties>
</file>