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Chars="-60" w:hanging="192" w:hangingChars="60"/>
        <w:rPr>
          <w:rFonts w:hint="eastAsia" w:ascii="黑体" w:hAnsi="黑体" w:eastAsia="黑体"/>
          <w:bCs/>
          <w:kern w:val="0"/>
          <w:szCs w:val="32"/>
        </w:rPr>
      </w:pPr>
      <w:r>
        <w:rPr>
          <w:rFonts w:ascii="黑体" w:hAnsi="黑体" w:eastAsia="黑体"/>
          <w:bCs/>
          <w:kern w:val="0"/>
          <w:sz w:val="32"/>
          <w:szCs w:val="32"/>
        </w:rPr>
        <w:t>附件</w:t>
      </w:r>
      <w:r>
        <w:rPr>
          <w:rFonts w:hint="eastAsia" w:ascii="黑体" w:hAnsi="黑体" w:eastAsia="黑体"/>
          <w:bCs/>
          <w:kern w:val="0"/>
          <w:sz w:val="32"/>
          <w:szCs w:val="32"/>
        </w:rPr>
        <w:t>2</w:t>
      </w:r>
    </w:p>
    <w:p>
      <w:pPr>
        <w:widowControl/>
        <w:spacing w:line="580" w:lineRule="exact"/>
        <w:jc w:val="center"/>
        <w:rPr>
          <w:rFonts w:ascii="Times New Roman" w:hAnsi="Times New Roman" w:eastAsia="方正小标宋_GBK"/>
          <w:bCs/>
          <w:kern w:val="0"/>
          <w:sz w:val="44"/>
          <w:szCs w:val="44"/>
          <w:lang w:val="en"/>
        </w:rPr>
      </w:pPr>
      <w:r>
        <w:rPr>
          <w:rFonts w:ascii="Times New Roman" w:hAnsi="Times New Roman" w:eastAsia="方正小标宋_GBK"/>
          <w:bCs/>
          <w:kern w:val="0"/>
          <w:sz w:val="44"/>
          <w:szCs w:val="44"/>
        </w:rPr>
        <w:t>劳动关系和谐工业园区、乡镇（街道）评价细则</w:t>
      </w:r>
    </w:p>
    <w:p>
      <w:pPr>
        <w:widowControl/>
        <w:spacing w:line="580" w:lineRule="exact"/>
        <w:rPr>
          <w:rFonts w:ascii="Times New Roman" w:hAnsi="Times New Roman" w:eastAsia="方正仿宋_GBK"/>
          <w:kern w:val="0"/>
          <w:szCs w:val="32"/>
        </w:rPr>
      </w:pPr>
      <w:bookmarkStart w:id="0" w:name="_GoBack"/>
      <w:bookmarkEnd w:id="0"/>
    </w:p>
    <w:tbl>
      <w:tblPr>
        <w:tblStyle w:val="2"/>
        <w:tblW w:w="145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23"/>
        <w:gridCol w:w="11170"/>
        <w:gridCol w:w="2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Header/>
          <w:jc w:val="center"/>
        </w:trPr>
        <w:tc>
          <w:tcPr>
            <w:tcW w:w="1323" w:type="dxa"/>
            <w:tcMar>
              <w:top w:w="0" w:type="dxa"/>
              <w:left w:w="108" w:type="dxa"/>
              <w:bottom w:w="0" w:type="dxa"/>
              <w:right w:w="108" w:type="dxa"/>
            </w:tcMar>
            <w:vAlign w:val="center"/>
          </w:tcPr>
          <w:p>
            <w:pPr>
              <w:widowControl/>
              <w:spacing w:line="300" w:lineRule="exact"/>
              <w:jc w:val="center"/>
              <w:rPr>
                <w:rFonts w:ascii="Times New Roman" w:hAnsi="Times New Roman" w:eastAsia="黑体"/>
                <w:kern w:val="0"/>
                <w:szCs w:val="21"/>
              </w:rPr>
            </w:pPr>
            <w:r>
              <w:rPr>
                <w:rFonts w:ascii="Times New Roman" w:hAnsi="Times New Roman" w:eastAsia="黑体"/>
                <w:kern w:val="0"/>
                <w:szCs w:val="21"/>
              </w:rPr>
              <w:t>评价项目</w:t>
            </w:r>
          </w:p>
        </w:tc>
        <w:tc>
          <w:tcPr>
            <w:tcW w:w="11170" w:type="dxa"/>
            <w:tcMar>
              <w:top w:w="0" w:type="dxa"/>
              <w:left w:w="108" w:type="dxa"/>
              <w:bottom w:w="0" w:type="dxa"/>
              <w:right w:w="108" w:type="dxa"/>
            </w:tcMar>
            <w:vAlign w:val="center"/>
          </w:tcPr>
          <w:p>
            <w:pPr>
              <w:widowControl/>
              <w:spacing w:line="300" w:lineRule="exact"/>
              <w:jc w:val="center"/>
              <w:rPr>
                <w:rFonts w:ascii="Times New Roman" w:hAnsi="Times New Roman" w:eastAsia="黑体"/>
                <w:kern w:val="0"/>
                <w:szCs w:val="21"/>
              </w:rPr>
            </w:pPr>
            <w:r>
              <w:rPr>
                <w:rFonts w:ascii="Times New Roman" w:hAnsi="Times New Roman" w:eastAsia="黑体"/>
                <w:kern w:val="0"/>
                <w:szCs w:val="21"/>
              </w:rPr>
              <w:t>评</w:t>
            </w:r>
            <w:r>
              <w:rPr>
                <w:rFonts w:hint="eastAsia" w:ascii="Times New Roman" w:hAnsi="Times New Roman" w:eastAsia="黑体"/>
                <w:kern w:val="0"/>
                <w:szCs w:val="21"/>
              </w:rPr>
              <w:t xml:space="preserve"> </w:t>
            </w:r>
            <w:r>
              <w:rPr>
                <w:rFonts w:ascii="Times New Roman" w:hAnsi="Times New Roman" w:eastAsia="黑体"/>
                <w:kern w:val="0"/>
                <w:szCs w:val="21"/>
              </w:rPr>
              <w:t>价</w:t>
            </w:r>
            <w:r>
              <w:rPr>
                <w:rFonts w:hint="eastAsia" w:ascii="Times New Roman" w:hAnsi="Times New Roman" w:eastAsia="黑体"/>
                <w:kern w:val="0"/>
                <w:szCs w:val="21"/>
              </w:rPr>
              <w:t xml:space="preserve"> </w:t>
            </w:r>
            <w:r>
              <w:rPr>
                <w:rFonts w:ascii="Times New Roman" w:hAnsi="Times New Roman" w:eastAsia="黑体"/>
                <w:kern w:val="0"/>
                <w:szCs w:val="21"/>
              </w:rPr>
              <w:t>细</w:t>
            </w:r>
            <w:r>
              <w:rPr>
                <w:rFonts w:hint="eastAsia" w:ascii="Times New Roman" w:hAnsi="Times New Roman" w:eastAsia="黑体"/>
                <w:kern w:val="0"/>
                <w:szCs w:val="21"/>
              </w:rPr>
              <w:t xml:space="preserve"> </w:t>
            </w:r>
            <w:r>
              <w:rPr>
                <w:rFonts w:ascii="Times New Roman" w:hAnsi="Times New Roman" w:eastAsia="黑体"/>
                <w:kern w:val="0"/>
                <w:szCs w:val="21"/>
              </w:rPr>
              <w:t>则</w:t>
            </w:r>
          </w:p>
        </w:tc>
        <w:tc>
          <w:tcPr>
            <w:tcW w:w="2072" w:type="dxa"/>
            <w:tcMar>
              <w:top w:w="0" w:type="dxa"/>
              <w:left w:w="108" w:type="dxa"/>
              <w:bottom w:w="0" w:type="dxa"/>
              <w:right w:w="108" w:type="dxa"/>
            </w:tcMar>
            <w:vAlign w:val="center"/>
          </w:tcPr>
          <w:p>
            <w:pPr>
              <w:widowControl/>
              <w:spacing w:line="300" w:lineRule="exact"/>
              <w:jc w:val="center"/>
              <w:rPr>
                <w:rFonts w:ascii="Times New Roman" w:hAnsi="Times New Roman" w:eastAsia="黑体"/>
                <w:kern w:val="0"/>
                <w:szCs w:val="21"/>
              </w:rPr>
            </w:pPr>
            <w:r>
              <w:rPr>
                <w:rFonts w:ascii="Times New Roman" w:hAnsi="Times New Roman" w:eastAsia="黑体"/>
                <w:kern w:val="0"/>
                <w:szCs w:val="21"/>
              </w:rPr>
              <w:t>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23" w:type="dxa"/>
            <w:vMerge w:val="restart"/>
            <w:tcMar>
              <w:top w:w="0" w:type="dxa"/>
              <w:left w:w="108" w:type="dxa"/>
              <w:bottom w:w="0" w:type="dxa"/>
              <w:right w:w="108" w:type="dxa"/>
            </w:tcMar>
            <w:vAlign w:val="center"/>
          </w:tcPr>
          <w:p>
            <w:pPr>
              <w:widowControl/>
              <w:spacing w:line="300" w:lineRule="exact"/>
              <w:jc w:val="center"/>
              <w:rPr>
                <w:rFonts w:hint="eastAsia" w:ascii="Times New Roman" w:hAnsi="Times New Roman"/>
                <w:szCs w:val="21"/>
              </w:rPr>
            </w:pPr>
            <w:r>
              <w:rPr>
                <w:rFonts w:ascii="Times New Roman" w:hAnsi="Times New Roman"/>
                <w:szCs w:val="21"/>
              </w:rPr>
              <w:t>一、组织机构建设</w:t>
            </w:r>
          </w:p>
          <w:p>
            <w:pPr>
              <w:widowControl/>
              <w:spacing w:line="300" w:lineRule="exact"/>
              <w:jc w:val="center"/>
              <w:rPr>
                <w:rFonts w:ascii="Times New Roman" w:hAnsi="Times New Roman"/>
                <w:szCs w:val="21"/>
              </w:rPr>
            </w:pPr>
            <w:r>
              <w:rPr>
                <w:rFonts w:ascii="Times New Roman" w:hAnsi="Times New Roman"/>
                <w:szCs w:val="21"/>
              </w:rPr>
              <w:t>（25分）</w:t>
            </w:r>
          </w:p>
        </w:tc>
        <w:tc>
          <w:tcPr>
            <w:tcW w:w="11170" w:type="dxa"/>
            <w:tcMar>
              <w:top w:w="0" w:type="dxa"/>
              <w:left w:w="108" w:type="dxa"/>
              <w:bottom w:w="0" w:type="dxa"/>
              <w:right w:w="108" w:type="dxa"/>
            </w:tcMar>
            <w:vAlign w:val="center"/>
          </w:tcPr>
          <w:p>
            <w:pPr>
              <w:widowControl/>
              <w:spacing w:line="300" w:lineRule="exact"/>
              <w:rPr>
                <w:rFonts w:ascii="Times New Roman" w:hAnsi="Times New Roman"/>
                <w:szCs w:val="21"/>
              </w:rPr>
            </w:pPr>
            <w:r>
              <w:rPr>
                <w:rFonts w:ascii="Times New Roman" w:hAnsi="Times New Roman"/>
                <w:szCs w:val="21"/>
              </w:rPr>
              <w:t>1、区域内建立健全党委领导的构建和谐劳动关系的领导协调工作机制（3分），制订创建活动实施方案（2分）。</w:t>
            </w:r>
          </w:p>
          <w:p>
            <w:pPr>
              <w:widowControl/>
              <w:spacing w:line="300" w:lineRule="exact"/>
              <w:rPr>
                <w:rFonts w:ascii="Times New Roman" w:hAnsi="Times New Roman"/>
                <w:szCs w:val="21"/>
              </w:rPr>
            </w:pPr>
          </w:p>
        </w:tc>
        <w:tc>
          <w:tcPr>
            <w:tcW w:w="2072" w:type="dxa"/>
            <w:tcMar>
              <w:top w:w="0" w:type="dxa"/>
              <w:left w:w="108" w:type="dxa"/>
              <w:bottom w:w="0" w:type="dxa"/>
              <w:right w:w="108" w:type="dxa"/>
            </w:tcMar>
          </w:tcPr>
          <w:p>
            <w:pPr>
              <w:widowControl/>
              <w:spacing w:line="300" w:lineRule="exact"/>
              <w:jc w:val="center"/>
              <w:rPr>
                <w:rFonts w:ascii="Times New Roman" w:hAnsi="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23" w:type="dxa"/>
            <w:vMerge w:val="continue"/>
            <w:vAlign w:val="center"/>
          </w:tcPr>
          <w:p>
            <w:pPr>
              <w:widowControl/>
              <w:spacing w:line="300" w:lineRule="exact"/>
              <w:jc w:val="center"/>
              <w:rPr>
                <w:rFonts w:ascii="Times New Roman" w:hAnsi="Times New Roman"/>
                <w:szCs w:val="21"/>
              </w:rPr>
            </w:pPr>
          </w:p>
        </w:tc>
        <w:tc>
          <w:tcPr>
            <w:tcW w:w="11170" w:type="dxa"/>
            <w:tcMar>
              <w:top w:w="0" w:type="dxa"/>
              <w:left w:w="108" w:type="dxa"/>
              <w:bottom w:w="0" w:type="dxa"/>
              <w:right w:w="108" w:type="dxa"/>
            </w:tcMar>
            <w:vAlign w:val="center"/>
          </w:tcPr>
          <w:p>
            <w:pPr>
              <w:widowControl/>
              <w:numPr>
                <w:ilvl w:val="0"/>
                <w:numId w:val="1"/>
              </w:numPr>
              <w:spacing w:line="300" w:lineRule="exact"/>
              <w:rPr>
                <w:rFonts w:ascii="Times New Roman" w:hAnsi="Times New Roman"/>
                <w:szCs w:val="21"/>
              </w:rPr>
            </w:pPr>
            <w:r>
              <w:rPr>
                <w:rFonts w:ascii="Times New Roman" w:hAnsi="Times New Roman"/>
                <w:szCs w:val="21"/>
              </w:rPr>
              <w:t>区域内党委政府把构建和谐劳动关系的总体工作要求纳入本地经济社会发展规划和重要议事日程。（5分）</w:t>
            </w:r>
          </w:p>
          <w:p>
            <w:pPr>
              <w:widowControl/>
              <w:spacing w:line="300" w:lineRule="exact"/>
              <w:rPr>
                <w:rFonts w:ascii="Times New Roman" w:hAnsi="Times New Roman"/>
                <w:szCs w:val="21"/>
              </w:rPr>
            </w:pPr>
          </w:p>
        </w:tc>
        <w:tc>
          <w:tcPr>
            <w:tcW w:w="2072" w:type="dxa"/>
            <w:tcMar>
              <w:top w:w="0" w:type="dxa"/>
              <w:left w:w="108" w:type="dxa"/>
              <w:bottom w:w="0" w:type="dxa"/>
              <w:right w:w="108" w:type="dxa"/>
            </w:tcMar>
          </w:tcPr>
          <w:p>
            <w:pPr>
              <w:widowControl/>
              <w:spacing w:line="300" w:lineRule="exact"/>
              <w:jc w:val="center"/>
              <w:rPr>
                <w:rFonts w:ascii="Times New Roman" w:hAnsi="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323" w:type="dxa"/>
            <w:vMerge w:val="continue"/>
            <w:vAlign w:val="center"/>
          </w:tcPr>
          <w:p>
            <w:pPr>
              <w:widowControl/>
              <w:spacing w:line="300" w:lineRule="exact"/>
              <w:jc w:val="center"/>
              <w:rPr>
                <w:rFonts w:ascii="Times New Roman" w:hAnsi="Times New Roman"/>
                <w:szCs w:val="21"/>
              </w:rPr>
            </w:pPr>
          </w:p>
        </w:tc>
        <w:tc>
          <w:tcPr>
            <w:tcW w:w="11170" w:type="dxa"/>
            <w:tcMar>
              <w:top w:w="0" w:type="dxa"/>
              <w:left w:w="108" w:type="dxa"/>
              <w:bottom w:w="0" w:type="dxa"/>
              <w:right w:w="108" w:type="dxa"/>
            </w:tcMar>
            <w:vAlign w:val="center"/>
          </w:tcPr>
          <w:p>
            <w:pPr>
              <w:widowControl/>
              <w:spacing w:line="300" w:lineRule="exact"/>
              <w:rPr>
                <w:rFonts w:ascii="Times New Roman" w:hAnsi="Times New Roman"/>
                <w:szCs w:val="21"/>
              </w:rPr>
            </w:pPr>
            <w:r>
              <w:rPr>
                <w:rFonts w:ascii="Times New Roman" w:hAnsi="Times New Roman"/>
                <w:szCs w:val="21"/>
              </w:rPr>
              <w:t>3、健全协调劳动关系三方机制。区域内建立政府、工会和企业代表组织组成的协调劳动关系三方委员会，由同级政府领导担任委员会主任（3分）。充分发挥三方机制组织研究制定劳动关系重大政策措施、协调处理带有普遍性、倾向性劳动关系问题和重大劳动争议等方面的作用（3分）。</w:t>
            </w:r>
          </w:p>
        </w:tc>
        <w:tc>
          <w:tcPr>
            <w:tcW w:w="2072" w:type="dxa"/>
            <w:tcMar>
              <w:top w:w="0" w:type="dxa"/>
              <w:left w:w="108" w:type="dxa"/>
              <w:bottom w:w="0" w:type="dxa"/>
              <w:right w:w="108" w:type="dxa"/>
            </w:tcMar>
          </w:tcPr>
          <w:p>
            <w:pPr>
              <w:widowControl/>
              <w:spacing w:line="300" w:lineRule="exact"/>
              <w:jc w:val="center"/>
              <w:rPr>
                <w:rFonts w:ascii="Times New Roman" w:hAnsi="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2" w:hRule="atLeast"/>
          <w:jc w:val="center"/>
        </w:trPr>
        <w:tc>
          <w:tcPr>
            <w:tcW w:w="1323" w:type="dxa"/>
            <w:vMerge w:val="continue"/>
            <w:vAlign w:val="center"/>
          </w:tcPr>
          <w:p>
            <w:pPr>
              <w:widowControl/>
              <w:spacing w:line="300" w:lineRule="exact"/>
              <w:jc w:val="center"/>
              <w:rPr>
                <w:rFonts w:ascii="Times New Roman" w:hAnsi="Times New Roman"/>
                <w:szCs w:val="21"/>
              </w:rPr>
            </w:pPr>
          </w:p>
        </w:tc>
        <w:tc>
          <w:tcPr>
            <w:tcW w:w="11170" w:type="dxa"/>
            <w:tcMar>
              <w:top w:w="0" w:type="dxa"/>
              <w:left w:w="108" w:type="dxa"/>
              <w:bottom w:w="0" w:type="dxa"/>
              <w:right w:w="108" w:type="dxa"/>
            </w:tcMar>
            <w:vAlign w:val="center"/>
          </w:tcPr>
          <w:p>
            <w:pPr>
              <w:widowControl/>
              <w:spacing w:line="300" w:lineRule="exact"/>
              <w:rPr>
                <w:rFonts w:ascii="Times New Roman" w:hAnsi="Times New Roman"/>
                <w:szCs w:val="21"/>
              </w:rPr>
            </w:pPr>
            <w:r>
              <w:rPr>
                <w:rFonts w:ascii="Times New Roman" w:hAnsi="Times New Roman"/>
                <w:szCs w:val="21"/>
              </w:rPr>
              <w:t>4、基层公共服务平台全部加载劳动关系协调、劳动争议调解和劳动保障监察工作职能（3分）。</w:t>
            </w:r>
          </w:p>
        </w:tc>
        <w:tc>
          <w:tcPr>
            <w:tcW w:w="2072" w:type="dxa"/>
            <w:tcMar>
              <w:top w:w="0" w:type="dxa"/>
              <w:left w:w="108" w:type="dxa"/>
              <w:bottom w:w="0" w:type="dxa"/>
              <w:right w:w="108" w:type="dxa"/>
            </w:tcMar>
          </w:tcPr>
          <w:p>
            <w:pPr>
              <w:widowControl/>
              <w:spacing w:line="300" w:lineRule="exact"/>
              <w:jc w:val="center"/>
              <w:rPr>
                <w:rFonts w:ascii="Times New Roman" w:hAnsi="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0" w:hRule="atLeast"/>
          <w:jc w:val="center"/>
        </w:trPr>
        <w:tc>
          <w:tcPr>
            <w:tcW w:w="1323" w:type="dxa"/>
            <w:vMerge w:val="continue"/>
            <w:vAlign w:val="center"/>
          </w:tcPr>
          <w:p>
            <w:pPr>
              <w:widowControl/>
              <w:spacing w:line="300" w:lineRule="exact"/>
              <w:jc w:val="center"/>
              <w:rPr>
                <w:rFonts w:ascii="Times New Roman" w:hAnsi="Times New Roman"/>
                <w:szCs w:val="21"/>
              </w:rPr>
            </w:pPr>
          </w:p>
        </w:tc>
        <w:tc>
          <w:tcPr>
            <w:tcW w:w="11170" w:type="dxa"/>
            <w:tcMar>
              <w:top w:w="0" w:type="dxa"/>
              <w:left w:w="108" w:type="dxa"/>
              <w:bottom w:w="0" w:type="dxa"/>
              <w:right w:w="108" w:type="dxa"/>
            </w:tcMar>
            <w:vAlign w:val="center"/>
          </w:tcPr>
          <w:p>
            <w:pPr>
              <w:widowControl/>
              <w:spacing w:line="300" w:lineRule="exact"/>
              <w:rPr>
                <w:rFonts w:ascii="Times New Roman" w:hAnsi="Times New Roman"/>
                <w:szCs w:val="21"/>
              </w:rPr>
            </w:pPr>
            <w:r>
              <w:rPr>
                <w:rFonts w:ascii="Times New Roman" w:hAnsi="Times New Roman"/>
                <w:szCs w:val="21"/>
              </w:rPr>
              <w:t>5、打造智能化、标准化劳动关系基层公共服务站点，配备劳动关系协调员（3分）。经常性对辖区内企业创建活动进行指导，形成地域行业性创建服务品牌。（3分）</w:t>
            </w:r>
          </w:p>
        </w:tc>
        <w:tc>
          <w:tcPr>
            <w:tcW w:w="2072" w:type="dxa"/>
            <w:tcMar>
              <w:top w:w="0" w:type="dxa"/>
              <w:left w:w="108" w:type="dxa"/>
              <w:bottom w:w="0" w:type="dxa"/>
              <w:right w:w="108" w:type="dxa"/>
            </w:tcMar>
          </w:tcPr>
          <w:p>
            <w:pPr>
              <w:widowControl/>
              <w:spacing w:line="300" w:lineRule="exact"/>
              <w:jc w:val="center"/>
              <w:rPr>
                <w:rFonts w:ascii="Times New Roman" w:hAnsi="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0" w:hRule="atLeast"/>
          <w:jc w:val="center"/>
        </w:trPr>
        <w:tc>
          <w:tcPr>
            <w:tcW w:w="1323" w:type="dxa"/>
            <w:vMerge w:val="restart"/>
            <w:vAlign w:val="center"/>
          </w:tcPr>
          <w:p>
            <w:pPr>
              <w:widowControl/>
              <w:spacing w:line="300" w:lineRule="exact"/>
              <w:jc w:val="center"/>
              <w:rPr>
                <w:rFonts w:ascii="Times New Roman" w:hAnsi="Times New Roman"/>
                <w:szCs w:val="21"/>
              </w:rPr>
            </w:pPr>
            <w:r>
              <w:rPr>
                <w:rFonts w:ascii="Times New Roman" w:hAnsi="Times New Roman"/>
                <w:szCs w:val="21"/>
              </w:rPr>
              <w:t>二、矛盾调处联动机制建设（25分）</w:t>
            </w:r>
          </w:p>
        </w:tc>
        <w:tc>
          <w:tcPr>
            <w:tcW w:w="11170" w:type="dxa"/>
            <w:tcMar>
              <w:top w:w="0" w:type="dxa"/>
              <w:left w:w="108" w:type="dxa"/>
              <w:bottom w:w="0" w:type="dxa"/>
              <w:right w:w="108" w:type="dxa"/>
            </w:tcMar>
            <w:vAlign w:val="center"/>
          </w:tcPr>
          <w:p>
            <w:pPr>
              <w:widowControl/>
              <w:spacing w:line="300" w:lineRule="exact"/>
              <w:rPr>
                <w:rFonts w:ascii="Times New Roman" w:hAnsi="Times New Roman"/>
                <w:szCs w:val="21"/>
              </w:rPr>
            </w:pPr>
            <w:r>
              <w:rPr>
                <w:rFonts w:ascii="Times New Roman" w:hAnsi="Times New Roman"/>
                <w:szCs w:val="21"/>
              </w:rPr>
              <w:t>1.依法建立工会组织，依法保障职工民主管理权益（3分）。建立集体协商制度，对不具备单独建立条件的小企业通过区域性、行业性集体合同实现覆盖（3分）。</w:t>
            </w:r>
          </w:p>
        </w:tc>
        <w:tc>
          <w:tcPr>
            <w:tcW w:w="2072" w:type="dxa"/>
            <w:tcMar>
              <w:top w:w="0" w:type="dxa"/>
              <w:left w:w="108" w:type="dxa"/>
              <w:bottom w:w="0" w:type="dxa"/>
              <w:right w:w="108" w:type="dxa"/>
            </w:tcMar>
          </w:tcPr>
          <w:p>
            <w:pPr>
              <w:widowControl/>
              <w:spacing w:line="300" w:lineRule="exact"/>
              <w:jc w:val="center"/>
              <w:rPr>
                <w:rFonts w:ascii="Times New Roman" w:hAnsi="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6" w:hRule="atLeast"/>
          <w:jc w:val="center"/>
        </w:trPr>
        <w:tc>
          <w:tcPr>
            <w:tcW w:w="1323" w:type="dxa"/>
            <w:vMerge w:val="continue"/>
            <w:vAlign w:val="center"/>
          </w:tcPr>
          <w:p>
            <w:pPr>
              <w:widowControl/>
              <w:spacing w:line="300" w:lineRule="exact"/>
              <w:jc w:val="center"/>
              <w:rPr>
                <w:rFonts w:ascii="Times New Roman" w:hAnsi="Times New Roman"/>
                <w:szCs w:val="21"/>
              </w:rPr>
            </w:pPr>
          </w:p>
        </w:tc>
        <w:tc>
          <w:tcPr>
            <w:tcW w:w="11170" w:type="dxa"/>
            <w:tcMar>
              <w:top w:w="0" w:type="dxa"/>
              <w:left w:w="108" w:type="dxa"/>
              <w:bottom w:w="0" w:type="dxa"/>
              <w:right w:w="108" w:type="dxa"/>
            </w:tcMar>
            <w:vAlign w:val="center"/>
          </w:tcPr>
          <w:p>
            <w:pPr>
              <w:widowControl/>
              <w:spacing w:line="300" w:lineRule="exact"/>
              <w:rPr>
                <w:rFonts w:ascii="Times New Roman" w:hAnsi="Times New Roman"/>
                <w:szCs w:val="21"/>
              </w:rPr>
            </w:pPr>
            <w:r>
              <w:rPr>
                <w:rFonts w:ascii="Times New Roman" w:hAnsi="Times New Roman"/>
                <w:bCs/>
                <w:szCs w:val="21"/>
              </w:rPr>
              <w:t>2.健全劳动保障监察制度。</w:t>
            </w:r>
            <w:r>
              <w:rPr>
                <w:rFonts w:ascii="Times New Roman" w:hAnsi="Times New Roman"/>
                <w:szCs w:val="21"/>
              </w:rPr>
              <w:t>区域内劳动保障监察机构设置规范、执法力量充足（2分）。加强日常巡查，及时受理查处劳动保障监察举报投诉案件（2分）。建立企业违法行为预警防控机制，完善多部门综合治理和监察执法与刑事司法联动机制（2分）。</w:t>
            </w:r>
          </w:p>
        </w:tc>
        <w:tc>
          <w:tcPr>
            <w:tcW w:w="2072" w:type="dxa"/>
            <w:tcMar>
              <w:top w:w="0" w:type="dxa"/>
              <w:left w:w="108" w:type="dxa"/>
              <w:bottom w:w="0" w:type="dxa"/>
              <w:right w:w="108" w:type="dxa"/>
            </w:tcMar>
          </w:tcPr>
          <w:p>
            <w:pPr>
              <w:widowControl/>
              <w:spacing w:line="300" w:lineRule="exact"/>
              <w:jc w:val="center"/>
              <w:rPr>
                <w:rFonts w:ascii="Times New Roman" w:hAnsi="Times New Roman"/>
                <w:b/>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18" w:hRule="atLeast"/>
          <w:jc w:val="center"/>
        </w:trPr>
        <w:tc>
          <w:tcPr>
            <w:tcW w:w="1323" w:type="dxa"/>
            <w:vMerge w:val="restart"/>
            <w:vAlign w:val="center"/>
          </w:tcPr>
          <w:p>
            <w:pPr>
              <w:widowControl/>
              <w:spacing w:line="300" w:lineRule="exact"/>
              <w:jc w:val="center"/>
              <w:rPr>
                <w:rFonts w:ascii="Times New Roman" w:hAnsi="Times New Roman"/>
                <w:szCs w:val="21"/>
              </w:rPr>
            </w:pPr>
          </w:p>
        </w:tc>
        <w:tc>
          <w:tcPr>
            <w:tcW w:w="11170" w:type="dxa"/>
            <w:tcMar>
              <w:top w:w="0" w:type="dxa"/>
              <w:left w:w="108" w:type="dxa"/>
              <w:bottom w:w="0" w:type="dxa"/>
              <w:right w:w="108" w:type="dxa"/>
            </w:tcMar>
            <w:vAlign w:val="center"/>
          </w:tcPr>
          <w:p>
            <w:pPr>
              <w:widowControl/>
              <w:spacing w:line="300" w:lineRule="exact"/>
              <w:rPr>
                <w:rFonts w:ascii="Times New Roman" w:hAnsi="Times New Roman"/>
                <w:szCs w:val="21"/>
              </w:rPr>
            </w:pPr>
            <w:r>
              <w:rPr>
                <w:rFonts w:ascii="Times New Roman" w:hAnsi="Times New Roman"/>
                <w:bCs/>
                <w:szCs w:val="21"/>
              </w:rPr>
              <w:t>3.健全劳动争议调解仲裁机制。</w:t>
            </w:r>
            <w:r>
              <w:rPr>
                <w:rFonts w:ascii="Times New Roman" w:hAnsi="Times New Roman"/>
                <w:szCs w:val="21"/>
              </w:rPr>
              <w:t>区域内依法建立区域性（行业性）劳动争议调解组织（2分）。区域内规模企业建立内部劳动争议协商调解机制</w:t>
            </w:r>
            <w:r>
              <w:rPr>
                <w:rFonts w:ascii="Times New Roman" w:hAnsi="Times New Roman"/>
                <w:bCs/>
                <w:kern w:val="0"/>
                <w:szCs w:val="21"/>
              </w:rPr>
              <w:t>（2分）</w:t>
            </w:r>
            <w:r>
              <w:rPr>
                <w:rFonts w:ascii="Times New Roman" w:hAnsi="Times New Roman"/>
                <w:szCs w:val="21"/>
              </w:rPr>
              <w:t>区域内劳动人事争议仲裁机构及时调处劳动争议案件，区域内劳动争议仲裁机构规范化、标准化、信息化建设符合要求。（2分）</w:t>
            </w:r>
          </w:p>
        </w:tc>
        <w:tc>
          <w:tcPr>
            <w:tcW w:w="2072" w:type="dxa"/>
            <w:tcMar>
              <w:top w:w="0" w:type="dxa"/>
              <w:left w:w="108" w:type="dxa"/>
              <w:bottom w:w="0" w:type="dxa"/>
              <w:right w:w="108" w:type="dxa"/>
            </w:tcMar>
          </w:tcPr>
          <w:p>
            <w:pPr>
              <w:widowControl/>
              <w:spacing w:line="300" w:lineRule="exact"/>
              <w:jc w:val="center"/>
              <w:rPr>
                <w:rFonts w:ascii="Times New Roman" w:hAnsi="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04" w:hRule="atLeast"/>
          <w:jc w:val="center"/>
        </w:trPr>
        <w:tc>
          <w:tcPr>
            <w:tcW w:w="1323" w:type="dxa"/>
            <w:vMerge w:val="continue"/>
          </w:tcPr>
          <w:p>
            <w:pPr>
              <w:widowControl/>
              <w:spacing w:line="300" w:lineRule="exact"/>
              <w:jc w:val="center"/>
              <w:rPr>
                <w:rFonts w:ascii="Times New Roman" w:hAnsi="Times New Roman"/>
                <w:szCs w:val="21"/>
              </w:rPr>
            </w:pPr>
          </w:p>
        </w:tc>
        <w:tc>
          <w:tcPr>
            <w:tcW w:w="11170" w:type="dxa"/>
            <w:vAlign w:val="center"/>
          </w:tcPr>
          <w:p>
            <w:pPr>
              <w:spacing w:line="300" w:lineRule="exact"/>
              <w:rPr>
                <w:rFonts w:ascii="Times New Roman" w:hAnsi="Times New Roman"/>
                <w:szCs w:val="21"/>
              </w:rPr>
            </w:pPr>
            <w:r>
              <w:rPr>
                <w:rFonts w:ascii="Times New Roman" w:hAnsi="Times New Roman"/>
                <w:bCs/>
                <w:szCs w:val="21"/>
              </w:rPr>
              <w:t>4.完善劳动关系突发性、群体性事件预防和应急处置机制。</w:t>
            </w:r>
            <w:r>
              <w:rPr>
                <w:rFonts w:ascii="Times New Roman" w:hAnsi="Times New Roman"/>
                <w:szCs w:val="21"/>
              </w:rPr>
              <w:t>建立劳动关系群体性事件的监测预警、事前预防及应急处置工作机制（</w:t>
            </w:r>
            <w:r>
              <w:rPr>
                <w:rFonts w:hint="eastAsia" w:ascii="Times New Roman" w:hAnsi="Times New Roman"/>
                <w:szCs w:val="21"/>
              </w:rPr>
              <w:t>4</w:t>
            </w:r>
            <w:r>
              <w:rPr>
                <w:rFonts w:ascii="Times New Roman" w:hAnsi="Times New Roman"/>
                <w:szCs w:val="21"/>
              </w:rPr>
              <w:t>分）。区域内劳动关系群体性事件应急预案完善，明确分级响应、处置程序和处置措施，发生问题后能够及时妥善应对（3分）。</w:t>
            </w:r>
          </w:p>
        </w:tc>
        <w:tc>
          <w:tcPr>
            <w:tcW w:w="2072" w:type="dxa"/>
          </w:tcPr>
          <w:p>
            <w:pPr>
              <w:widowControl/>
              <w:spacing w:line="300" w:lineRule="exact"/>
              <w:jc w:val="center"/>
              <w:rPr>
                <w:rFonts w:ascii="Times New Roman" w:hAnsi="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5" w:hRule="atLeast"/>
          <w:jc w:val="center"/>
        </w:trPr>
        <w:tc>
          <w:tcPr>
            <w:tcW w:w="1323" w:type="dxa"/>
            <w:vMerge w:val="restart"/>
            <w:vAlign w:val="center"/>
          </w:tcPr>
          <w:p>
            <w:pPr>
              <w:widowControl/>
              <w:spacing w:line="300" w:lineRule="exact"/>
              <w:jc w:val="center"/>
              <w:rPr>
                <w:rFonts w:ascii="Times New Roman" w:hAnsi="Times New Roman"/>
                <w:szCs w:val="21"/>
              </w:rPr>
            </w:pPr>
            <w:r>
              <w:rPr>
                <w:rFonts w:ascii="Times New Roman" w:hAnsi="Times New Roman"/>
                <w:szCs w:val="21"/>
              </w:rPr>
              <w:t>三、劳动关系和谐情况（50）</w:t>
            </w:r>
          </w:p>
        </w:tc>
        <w:tc>
          <w:tcPr>
            <w:tcW w:w="11170" w:type="dxa"/>
            <w:vAlign w:val="center"/>
          </w:tcPr>
          <w:p>
            <w:pPr>
              <w:spacing w:line="300" w:lineRule="exact"/>
              <w:rPr>
                <w:rFonts w:ascii="Times New Roman" w:hAnsi="Times New Roman"/>
                <w:szCs w:val="21"/>
              </w:rPr>
            </w:pPr>
            <w:r>
              <w:rPr>
                <w:rFonts w:ascii="Times New Roman" w:hAnsi="Times New Roman"/>
                <w:szCs w:val="21"/>
              </w:rPr>
              <w:t>1.区域内企业普遍开展和谐劳动关系创建活动，</w:t>
            </w:r>
            <w:r>
              <w:rPr>
                <w:rFonts w:ascii="Times New Roman" w:hAnsi="Times New Roman"/>
                <w:szCs w:val="21"/>
                <w:lang w:val="en"/>
              </w:rPr>
              <w:t>劳动关系和谐评价得分值在</w:t>
            </w:r>
            <w:r>
              <w:rPr>
                <w:rFonts w:ascii="Times New Roman" w:hAnsi="Times New Roman"/>
                <w:szCs w:val="21"/>
              </w:rPr>
              <w:t>85分以上企业数占企业总数80%以上（30分）、70-79%（25分）、60-69%（20分）、50-59%（10分）、50%以下不得分。</w:t>
            </w:r>
          </w:p>
        </w:tc>
        <w:tc>
          <w:tcPr>
            <w:tcW w:w="2072" w:type="dxa"/>
          </w:tcPr>
          <w:p>
            <w:pPr>
              <w:widowControl/>
              <w:spacing w:line="300" w:lineRule="exact"/>
              <w:jc w:val="center"/>
              <w:rPr>
                <w:rFonts w:ascii="Times New Roman" w:hAnsi="Times New Roman"/>
                <w:b/>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5" w:hRule="atLeast"/>
          <w:jc w:val="center"/>
        </w:trPr>
        <w:tc>
          <w:tcPr>
            <w:tcW w:w="1323" w:type="dxa"/>
            <w:vMerge w:val="continue"/>
          </w:tcPr>
          <w:p>
            <w:pPr>
              <w:widowControl/>
              <w:spacing w:line="300" w:lineRule="exact"/>
              <w:jc w:val="center"/>
              <w:rPr>
                <w:rFonts w:ascii="Times New Roman" w:hAnsi="Times New Roman"/>
                <w:szCs w:val="21"/>
              </w:rPr>
            </w:pPr>
          </w:p>
        </w:tc>
        <w:tc>
          <w:tcPr>
            <w:tcW w:w="11170" w:type="dxa"/>
            <w:vAlign w:val="center"/>
          </w:tcPr>
          <w:p>
            <w:pPr>
              <w:spacing w:line="300" w:lineRule="exact"/>
              <w:rPr>
                <w:rFonts w:ascii="Times New Roman" w:hAnsi="Times New Roman"/>
                <w:szCs w:val="21"/>
              </w:rPr>
            </w:pPr>
            <w:r>
              <w:rPr>
                <w:rFonts w:ascii="Times New Roman" w:hAnsi="Times New Roman"/>
                <w:kern w:val="0"/>
                <w:szCs w:val="21"/>
              </w:rPr>
              <w:t>2.区域内职</w:t>
            </w:r>
            <w:r>
              <w:rPr>
                <w:rFonts w:ascii="Times New Roman" w:hAnsi="Times New Roman"/>
                <w:bCs/>
                <w:kern w:val="0"/>
                <w:szCs w:val="21"/>
              </w:rPr>
              <w:t>工对劳动关系状况的满意度达90%以上的企业占企业总数</w:t>
            </w:r>
            <w:r>
              <w:rPr>
                <w:rFonts w:ascii="Times New Roman" w:hAnsi="Times New Roman"/>
                <w:szCs w:val="21"/>
              </w:rPr>
              <w:t>80%以上（20分）、70-79%（15分）、60-69%（10分）、50-59%（5分）、50%以下不得分。</w:t>
            </w:r>
          </w:p>
        </w:tc>
        <w:tc>
          <w:tcPr>
            <w:tcW w:w="2072" w:type="dxa"/>
          </w:tcPr>
          <w:p>
            <w:pPr>
              <w:widowControl/>
              <w:spacing w:line="300" w:lineRule="exact"/>
              <w:jc w:val="center"/>
              <w:rPr>
                <w:rFonts w:ascii="Times New Roman" w:hAnsi="Times New Roman"/>
                <w:b/>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8" w:hRule="atLeast"/>
          <w:jc w:val="center"/>
        </w:trPr>
        <w:tc>
          <w:tcPr>
            <w:tcW w:w="1323" w:type="dxa"/>
            <w:vMerge w:val="restart"/>
            <w:vAlign w:val="center"/>
          </w:tcPr>
          <w:p>
            <w:pPr>
              <w:widowControl/>
              <w:spacing w:line="300" w:lineRule="exact"/>
              <w:jc w:val="center"/>
              <w:rPr>
                <w:rFonts w:hint="eastAsia" w:ascii="Times New Roman" w:hAnsi="Times New Roman"/>
                <w:szCs w:val="21"/>
              </w:rPr>
            </w:pPr>
            <w:r>
              <w:rPr>
                <w:rFonts w:ascii="Times New Roman" w:hAnsi="Times New Roman"/>
                <w:szCs w:val="21"/>
              </w:rPr>
              <w:t>四、</w:t>
            </w:r>
            <w:r>
              <w:rPr>
                <w:rFonts w:hint="eastAsia" w:ascii="Times New Roman" w:hAnsi="Times New Roman"/>
                <w:szCs w:val="21"/>
              </w:rPr>
              <w:t>负面清单</w:t>
            </w:r>
          </w:p>
        </w:tc>
        <w:tc>
          <w:tcPr>
            <w:tcW w:w="11170" w:type="dxa"/>
            <w:vAlign w:val="center"/>
          </w:tcPr>
          <w:p>
            <w:pPr>
              <w:widowControl/>
              <w:spacing w:line="300" w:lineRule="exact"/>
              <w:rPr>
                <w:rFonts w:ascii="Times New Roman" w:hAnsi="Times New Roman"/>
                <w:szCs w:val="21"/>
              </w:rPr>
            </w:pPr>
            <w:r>
              <w:rPr>
                <w:rFonts w:ascii="Times New Roman" w:hAnsi="Times New Roman"/>
                <w:szCs w:val="21"/>
              </w:rPr>
              <w:t>1.区域内企业当期发生恶性劳动保障违法犯罪案件。（-100分）</w:t>
            </w:r>
          </w:p>
        </w:tc>
        <w:tc>
          <w:tcPr>
            <w:tcW w:w="2072" w:type="dxa"/>
          </w:tcPr>
          <w:p>
            <w:pPr>
              <w:widowControl/>
              <w:spacing w:line="300" w:lineRule="exact"/>
              <w:jc w:val="center"/>
              <w:rPr>
                <w:rFonts w:ascii="Times New Roman" w:hAnsi="Times New Roman"/>
                <w:b/>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1" w:hRule="atLeast"/>
          <w:jc w:val="center"/>
        </w:trPr>
        <w:tc>
          <w:tcPr>
            <w:tcW w:w="1323" w:type="dxa"/>
            <w:vMerge w:val="continue"/>
          </w:tcPr>
          <w:p>
            <w:pPr>
              <w:widowControl/>
              <w:spacing w:line="300" w:lineRule="exact"/>
              <w:jc w:val="center"/>
              <w:rPr>
                <w:rFonts w:ascii="Times New Roman" w:hAnsi="Times New Roman"/>
                <w:szCs w:val="21"/>
              </w:rPr>
            </w:pPr>
          </w:p>
        </w:tc>
        <w:tc>
          <w:tcPr>
            <w:tcW w:w="11170" w:type="dxa"/>
            <w:vAlign w:val="center"/>
          </w:tcPr>
          <w:p>
            <w:pPr>
              <w:widowControl/>
              <w:spacing w:line="300" w:lineRule="exact"/>
              <w:rPr>
                <w:rFonts w:ascii="Times New Roman" w:hAnsi="Times New Roman"/>
                <w:szCs w:val="21"/>
              </w:rPr>
            </w:pPr>
            <w:r>
              <w:rPr>
                <w:rFonts w:ascii="Times New Roman" w:hAnsi="Times New Roman"/>
                <w:szCs w:val="21"/>
              </w:rPr>
              <w:t>2.区域内企业当期发生</w:t>
            </w:r>
            <w:r>
              <w:rPr>
                <w:rFonts w:ascii="Times New Roman" w:hAnsi="Times New Roman"/>
                <w:bCs/>
                <w:kern w:val="0"/>
                <w:szCs w:val="21"/>
              </w:rPr>
              <w:t>重大安全责任事故或职业病危害事故。（</w:t>
            </w:r>
            <w:r>
              <w:rPr>
                <w:rFonts w:ascii="Times New Roman" w:hAnsi="Times New Roman"/>
                <w:szCs w:val="21"/>
              </w:rPr>
              <w:t>-100分）</w:t>
            </w:r>
          </w:p>
        </w:tc>
        <w:tc>
          <w:tcPr>
            <w:tcW w:w="2072" w:type="dxa"/>
          </w:tcPr>
          <w:p>
            <w:pPr>
              <w:widowControl/>
              <w:spacing w:line="300" w:lineRule="exact"/>
              <w:jc w:val="center"/>
              <w:rPr>
                <w:rFonts w:ascii="Times New Roman" w:hAnsi="Times New Roman"/>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5" w:hRule="atLeast"/>
          <w:jc w:val="center"/>
        </w:trPr>
        <w:tc>
          <w:tcPr>
            <w:tcW w:w="1323" w:type="dxa"/>
            <w:vMerge w:val="continue"/>
          </w:tcPr>
          <w:p>
            <w:pPr>
              <w:widowControl/>
              <w:spacing w:line="300" w:lineRule="exact"/>
              <w:jc w:val="center"/>
              <w:rPr>
                <w:rFonts w:ascii="Times New Roman" w:hAnsi="Times New Roman"/>
                <w:szCs w:val="21"/>
              </w:rPr>
            </w:pPr>
          </w:p>
        </w:tc>
        <w:tc>
          <w:tcPr>
            <w:tcW w:w="11170" w:type="dxa"/>
            <w:vAlign w:val="center"/>
          </w:tcPr>
          <w:p>
            <w:pPr>
              <w:widowControl/>
              <w:spacing w:line="300" w:lineRule="exact"/>
              <w:rPr>
                <w:rFonts w:ascii="Times New Roman" w:hAnsi="Times New Roman"/>
                <w:szCs w:val="21"/>
              </w:rPr>
            </w:pPr>
            <w:r>
              <w:rPr>
                <w:rFonts w:ascii="Times New Roman" w:hAnsi="Times New Roman"/>
                <w:bCs/>
                <w:kern w:val="0"/>
                <w:szCs w:val="21"/>
              </w:rPr>
              <w:t>3</w:t>
            </w:r>
            <w:r>
              <w:rPr>
                <w:rFonts w:ascii="Times New Roman" w:hAnsi="Times New Roman"/>
                <w:szCs w:val="21"/>
              </w:rPr>
              <w:t>.</w:t>
            </w:r>
            <w:r>
              <w:rPr>
                <w:rFonts w:ascii="Times New Roman" w:hAnsi="Times New Roman"/>
                <w:bCs/>
                <w:kern w:val="0"/>
                <w:szCs w:val="21"/>
              </w:rPr>
              <w:t>区域内企业当期发生因恶意欠薪导致的重大集体劳动争议案件。（</w:t>
            </w:r>
            <w:r>
              <w:rPr>
                <w:rFonts w:ascii="Times New Roman" w:hAnsi="Times New Roman"/>
                <w:szCs w:val="21"/>
              </w:rPr>
              <w:t>-100分）</w:t>
            </w:r>
          </w:p>
        </w:tc>
        <w:tc>
          <w:tcPr>
            <w:tcW w:w="2072" w:type="dxa"/>
          </w:tcPr>
          <w:p>
            <w:pPr>
              <w:widowControl/>
              <w:spacing w:line="300" w:lineRule="exact"/>
              <w:jc w:val="center"/>
              <w:rPr>
                <w:rFonts w:ascii="Times New Roman" w:hAnsi="Times New Roman"/>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323" w:type="dxa"/>
            <w:vMerge w:val="continue"/>
          </w:tcPr>
          <w:p>
            <w:pPr>
              <w:widowControl/>
              <w:spacing w:line="300" w:lineRule="exact"/>
              <w:jc w:val="center"/>
              <w:rPr>
                <w:rFonts w:ascii="Times New Roman" w:hAnsi="Times New Roman"/>
                <w:szCs w:val="21"/>
              </w:rPr>
            </w:pPr>
          </w:p>
        </w:tc>
        <w:tc>
          <w:tcPr>
            <w:tcW w:w="11170" w:type="dxa"/>
            <w:vAlign w:val="center"/>
          </w:tcPr>
          <w:p>
            <w:pPr>
              <w:widowControl/>
              <w:spacing w:line="300" w:lineRule="exact"/>
              <w:rPr>
                <w:rFonts w:ascii="Times New Roman" w:hAnsi="Times New Roman"/>
                <w:b/>
                <w:szCs w:val="21"/>
              </w:rPr>
            </w:pPr>
            <w:r>
              <w:rPr>
                <w:rFonts w:ascii="Times New Roman" w:hAnsi="Times New Roman"/>
                <w:szCs w:val="21"/>
              </w:rPr>
              <w:t>4.区域内企业当期发生造成严重社会影响的群体性事件。（-100分）</w:t>
            </w:r>
          </w:p>
        </w:tc>
        <w:tc>
          <w:tcPr>
            <w:tcW w:w="2072" w:type="dxa"/>
          </w:tcPr>
          <w:p>
            <w:pPr>
              <w:widowControl/>
              <w:spacing w:line="300" w:lineRule="exact"/>
              <w:jc w:val="center"/>
              <w:rPr>
                <w:rFonts w:ascii="Times New Roman" w:hAnsi="Times New Roman"/>
                <w:b/>
                <w:szCs w:val="21"/>
              </w:rPr>
            </w:pPr>
          </w:p>
        </w:tc>
      </w:tr>
    </w:tbl>
    <w:p>
      <w:r>
        <w:rPr>
          <w:rFonts w:ascii="Times New Roman" w:hAnsi="Times New Roman" w:eastAsia="方正仿宋_GBK"/>
          <w:sz w:val="28"/>
          <w:szCs w:val="28"/>
        </w:rPr>
        <w:t>备注：工业园区、乡镇（街道）自评分在85分及以上的，可申报创建示范工业园区、乡镇（街道）。</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AA791"/>
    <w:multiLevelType w:val="singleLevel"/>
    <w:tmpl w:val="C73AA79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OWFmNDQ5N2Y1MGE0YTlmZGEzOWI2YWFhZDI1ODMifQ=="/>
  </w:docVars>
  <w:rsids>
    <w:rsidRoot w:val="197E02E8"/>
    <w:rsid w:val="197E02E8"/>
    <w:rsid w:val="DF5D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2023-04-23T10:21:00Z</dcterms:created>
  <dc:creator>四驱小蜗牛</dc:creator>
  <cp:lastModifiedBy>greatwall</cp:lastModifiedBy>
  <cp:lastPrinted>2023-06-25T10:53:24Z</cp:lastPrinted>
  <dcterms:modified xsi:type="dcterms:W3CDTF">2023-06-25T10:54:30Z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10177D8CD4274DB4B84117E89D5E2837_11</vt:lpwstr>
  </property>
</Properties>
</file>