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年济源产城融合示范区</w:t>
      </w:r>
    </w:p>
    <w:p>
      <w:pPr>
        <w:spacing w:after="0" w:afterLines="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人力资源市场职业供求状况分析</w:t>
      </w:r>
    </w:p>
    <w:p>
      <w:pPr>
        <w:spacing w:after="0" w:afterLines="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一、20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年公共人力资源市场供求总体概况（见表1）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现场招聘和网络招聘两大招聘渠道，以济源市就业服务网招聘求职数据为依据，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提供就业岗位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38500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求职者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5800余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人次，求人倍率为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（求人倍率=需求人数/求职人数），达成意向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8510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58"/>
        <w:gridCol w:w="1366"/>
        <w:gridCol w:w="1900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表1：2021年济源产城融合示范区人力资源市场整体供求状况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达成意向数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45735" cy="3267075"/>
            <wp:effectExtent l="4445" t="4445" r="7620" b="5080"/>
            <wp:docPr id="17202675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年济源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人力资源市场职业供求状况主要呈现以下特征：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行业岗位供需不对称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岗位需求和求职人数的比为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6.6，</w:t>
      </w:r>
      <w:r>
        <w:rPr>
          <w:rFonts w:hint="eastAsia" w:ascii="仿宋" w:hAnsi="仿宋" w:eastAsia="仿宋" w:cs="仿宋"/>
          <w:sz w:val="32"/>
          <w:szCs w:val="32"/>
        </w:rPr>
        <w:t>即100名求职者应聘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660</w:t>
      </w:r>
      <w:r>
        <w:rPr>
          <w:rFonts w:hint="eastAsia" w:ascii="仿宋" w:hAnsi="仿宋" w:eastAsia="仿宋" w:cs="仿宋"/>
          <w:sz w:val="32"/>
          <w:szCs w:val="32"/>
        </w:rPr>
        <w:t>个岗位。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力市场“招工难”和“找工难”的结构性矛盾依旧突出，重点就业群体的就业创业能力与用人单位需求存在差距，人才供给与企业需求不成正比，招工难排行榜前三名的分别是一线工人、技工和研发人员，“普工难”与“技工难”并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今年以来，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“中国白银城”山立珠宝供应链（济源）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有限公司出动了人力资源部全体员工进行招聘，但还是难以招到合适的工人。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并且在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2021年5月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示范区管委会为加快推进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中国白银城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项目建设，召开了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中国白银城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项目建设推进会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确定事项分解立项，并跟踪督办。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公司经理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女士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谈到：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示范区管委会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高度重视，给予了很大支持，我们在福利待遇、工作环境等方面也做了很多改善，有不少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来参观，但留下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上班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的不多。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随着制造业转型升级和“机器换人”的实施，比起一线员工的需求，技术人才的紧缺更为明显，不少技术人才月薪破万元。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在济源虎岭产业聚集区了解到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焊工月薪可达6000至7000元，资深焊工月薪破万元，铆工比焊工工资更高，平均月薪达8000元左右，资深铆工月薪万元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即便如此，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招到合适的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技工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仍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是企业面临的普遍问题。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firstLine="640"/>
        <w:jc w:val="both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求职者对岗位要求较以往有明显的变化，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呈现出：工资低的不过问，地方偏远的不考虑，最好不上夜班，要求缴纳五险一金等现象。企业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高技能人才需求总量在不断增加，但对外地和本地技能人才的吸引力不大。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专业不对口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自身能力不足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薪资要求过高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，是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找不到自己想要的工作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9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2、“招才引智”招聘大会成效显著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firstLine="645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从求职者的文化程度看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硕士以上的求职者较前三季度增加350人。10月底示范区30家用人单位参加“第四届中国·河南招才引智创新发展大会”，“招才引智”招聘大会成效显著，吸引到高质量优秀人才。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二、产业、行业劳动力需求状况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1、产业（见表2）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从产业需求看，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就业岗位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依旧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集中在第二、第三产业。第一产业需求人数只占需求总数的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2.72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%。第二产业需求人数占总数的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46.94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%,第三产业需求人数占总数的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50.34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%,需求结构相对稳定。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17"/>
        <w:gridCol w:w="3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表2：按产业分组的需求人数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需求人数（人）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spacing w:line="360" w:lineRule="auto"/>
        <w:jc w:val="both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360" w:lineRule="auto"/>
        <w:jc w:val="both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drawing>
          <wp:inline distT="0" distB="0" distL="114300" distR="114300">
            <wp:extent cx="5266690" cy="2699385"/>
            <wp:effectExtent l="6350" t="6350" r="22860" b="18415"/>
            <wp:docPr id="1717758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2、行业（见表3）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从行业需求看，用工需求最大的前三个行业分别是: 制造业、居民服务和其他服务业、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租赁和商务服务业，占比分别为：32.22%、15.57%、15.14%。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制造业、居民服务和其他服务业、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租赁和商务服务业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的用人需求比重总和达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市场岗位需求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2182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表3：按行业分组的需求人数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住宿、餐饮、旅游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科学研究、技术服务和地质勘查业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卫生、社会保障和社会福利业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公共管理与社会组织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</w:tbl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2405" cy="3344545"/>
            <wp:effectExtent l="4445" t="4445" r="19050" b="22860"/>
            <wp:docPr id="17204674" name="Char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三、用人单位需求按职位分类供求情况分析（见表4）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从职位需求情况看，专业技术人员、商业和服务人员、生产运输设备操作工是吸纳劳动力的主渠道，所占比重分别为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%，合计占总需求量的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既是用人需求的主体，又是求职人员集中的职业。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111"/>
        <w:gridCol w:w="1111"/>
        <w:gridCol w:w="1111"/>
        <w:gridCol w:w="1111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表4：职业分组的供求人数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职业类别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(人)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办事人员和有关人员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商业和服务人员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农林牧渔水利生产员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生产运输设备操作工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27320" cy="3246755"/>
            <wp:effectExtent l="4445" t="4445" r="6985" b="6350"/>
            <wp:docPr id="17179447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220" w:lineRule="atLeas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四、招聘、应聘条件状况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1、性别（见表5）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从对劳动者的性别需求看，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67.61</w:t>
      </w:r>
      <w:r>
        <w:rPr>
          <w:rFonts w:hint="eastAsia" w:ascii="仿宋" w:hAnsi="仿宋" w:eastAsia="仿宋" w:cs="仿宋"/>
          <w:sz w:val="32"/>
          <w:szCs w:val="32"/>
        </w:rPr>
        <w:t>%用人单位对求职者的性别无明确要求，对男性的需求比重为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17.61</w:t>
      </w:r>
      <w:r>
        <w:rPr>
          <w:rFonts w:hint="eastAsia" w:ascii="仿宋" w:hAnsi="仿宋" w:eastAsia="仿宋" w:cs="仿宋"/>
          <w:sz w:val="32"/>
          <w:szCs w:val="32"/>
        </w:rPr>
        <w:t>%，对女性的用人需求为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14.78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从求职者的性别结构看，男性的求职人数多于女性，其所占比重分别是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54.38</w:t>
      </w:r>
      <w:r>
        <w:rPr>
          <w:rFonts w:hint="eastAsia" w:ascii="仿宋" w:hAnsi="仿宋" w:eastAsia="仿宋" w:cs="仿宋"/>
          <w:sz w:val="32"/>
          <w:szCs w:val="32"/>
        </w:rPr>
        <w:t>%和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45.62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14"/>
        <w:gridCol w:w="1414"/>
        <w:gridCol w:w="1539"/>
        <w:gridCol w:w="141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表5：按性别分组的供求人数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求职人数（人）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drawing>
          <wp:inline distT="0" distB="0" distL="114300" distR="114300">
            <wp:extent cx="5274310" cy="2607945"/>
            <wp:effectExtent l="4445" t="4445" r="17145" b="16510"/>
            <wp:docPr id="17180471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2、年龄（见表6）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从用人单位对劳动者的年龄要求来看， 16-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4岁之间的用人需求占总体需求的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16.58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岁以上用人需求占总体需求的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%，大龄劳动者就业仍存在着较大的困难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从求职者的年龄构成来看，16-34岁之间的人员占求职总数的大部分份额，占总体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求职人数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61.16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90"/>
        <w:gridCol w:w="1390"/>
        <w:gridCol w:w="1390"/>
        <w:gridCol w:w="139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表6：按年龄分组的劳动力供求信息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求职人数（人）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25-34岁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35-44岁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7960" cy="3180080"/>
            <wp:effectExtent l="4445" t="4445" r="23495" b="15875"/>
            <wp:docPr id="17181495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3、文化程度（见表7）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9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从用人需求对求职者文化程度的要求来看，要求具有初中文化程度即可的用人需求约占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%，要求具有高中、职、技、中专文化程度的用人需求占总需求的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%；对大专文化程度的用人需求占总需求的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18.53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%；要求大学及以上文化程度的用人需求占总需求的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从求职者的文化程度来看，具有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文化程度的求职者是进入人力资源市场的求职主体，比重为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47.42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%,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求职者在学历结构上呈低学历逐年减少，高学历逐年增加的趋势。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5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03"/>
        <w:gridCol w:w="1303"/>
        <w:gridCol w:w="1303"/>
        <w:gridCol w:w="1303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表7：按文化程度分组的供求人数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劳动力供求人数比较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求职人数（人）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</w:rPr>
      </w:pPr>
      <w:r>
        <w:drawing>
          <wp:inline distT="0" distB="0" distL="114300" distR="114300">
            <wp:extent cx="5269865" cy="3503930"/>
            <wp:effectExtent l="4445" t="4445" r="21590" b="15875"/>
            <wp:docPr id="1720573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五、薪资情况（见表8）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本年度人力资源市场总体薪资变动不大。根据求职登记统计汇总，月薪2000至4000元的求职者占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52.34</w:t>
      </w:r>
      <w:r>
        <w:rPr>
          <w:rFonts w:hint="eastAsia" w:ascii="仿宋" w:hAnsi="仿宋" w:eastAsia="仿宋" w:cs="仿宋"/>
          <w:sz w:val="32"/>
          <w:szCs w:val="32"/>
        </w:rPr>
        <w:t>%，月薪4000元以上的求职者占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46.85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求职者对薪资要求有所提升。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896"/>
        <w:gridCol w:w="1283"/>
        <w:gridCol w:w="1350"/>
        <w:gridCol w:w="1284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表8：求职者薪资要求分组对比情况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薪资要求</w:t>
            </w:r>
          </w:p>
        </w:tc>
        <w:tc>
          <w:tcPr>
            <w:tcW w:w="5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劳动者人数比较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需求人数（人）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求职人数（人）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2001-3000元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3001-4000元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4001-5000元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71135" cy="3201035"/>
            <wp:effectExtent l="4445" t="4445" r="20320" b="13970"/>
            <wp:docPr id="17182519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2B7"/>
    <w:rsid w:val="00026B74"/>
    <w:rsid w:val="0003673C"/>
    <w:rsid w:val="00041C76"/>
    <w:rsid w:val="0004547D"/>
    <w:rsid w:val="0008604C"/>
    <w:rsid w:val="000B0700"/>
    <w:rsid w:val="000B0B93"/>
    <w:rsid w:val="000B58AC"/>
    <w:rsid w:val="000B712E"/>
    <w:rsid w:val="000D4810"/>
    <w:rsid w:val="000E6815"/>
    <w:rsid w:val="001A23EC"/>
    <w:rsid w:val="001C7B12"/>
    <w:rsid w:val="001F6A36"/>
    <w:rsid w:val="002260FA"/>
    <w:rsid w:val="00250AAD"/>
    <w:rsid w:val="002A1A09"/>
    <w:rsid w:val="002E1300"/>
    <w:rsid w:val="002F27A5"/>
    <w:rsid w:val="00305CAA"/>
    <w:rsid w:val="00323B43"/>
    <w:rsid w:val="003418ED"/>
    <w:rsid w:val="003727A7"/>
    <w:rsid w:val="003935EA"/>
    <w:rsid w:val="003A38BB"/>
    <w:rsid w:val="003D0284"/>
    <w:rsid w:val="003D37D8"/>
    <w:rsid w:val="003D38C8"/>
    <w:rsid w:val="003F1D1C"/>
    <w:rsid w:val="003F26A6"/>
    <w:rsid w:val="00426133"/>
    <w:rsid w:val="004358AB"/>
    <w:rsid w:val="00436BCF"/>
    <w:rsid w:val="00476692"/>
    <w:rsid w:val="00477BB1"/>
    <w:rsid w:val="004A3C12"/>
    <w:rsid w:val="004B5A95"/>
    <w:rsid w:val="004E0B68"/>
    <w:rsid w:val="004E2B58"/>
    <w:rsid w:val="0050128B"/>
    <w:rsid w:val="005405D1"/>
    <w:rsid w:val="00565895"/>
    <w:rsid w:val="00582C77"/>
    <w:rsid w:val="005936B2"/>
    <w:rsid w:val="005C0296"/>
    <w:rsid w:val="00651841"/>
    <w:rsid w:val="006635F4"/>
    <w:rsid w:val="00683B21"/>
    <w:rsid w:val="00691B97"/>
    <w:rsid w:val="00700F09"/>
    <w:rsid w:val="00754387"/>
    <w:rsid w:val="0079316A"/>
    <w:rsid w:val="007A4C4F"/>
    <w:rsid w:val="00800CC5"/>
    <w:rsid w:val="00821376"/>
    <w:rsid w:val="00824D4D"/>
    <w:rsid w:val="00847F56"/>
    <w:rsid w:val="00854C7C"/>
    <w:rsid w:val="00875256"/>
    <w:rsid w:val="00886F11"/>
    <w:rsid w:val="008A1FE4"/>
    <w:rsid w:val="008B42DB"/>
    <w:rsid w:val="008B7726"/>
    <w:rsid w:val="008E50A9"/>
    <w:rsid w:val="008E50F9"/>
    <w:rsid w:val="009145A1"/>
    <w:rsid w:val="009364F9"/>
    <w:rsid w:val="00965581"/>
    <w:rsid w:val="00A07C26"/>
    <w:rsid w:val="00A24ECB"/>
    <w:rsid w:val="00AB6DFC"/>
    <w:rsid w:val="00AE43EE"/>
    <w:rsid w:val="00B440A4"/>
    <w:rsid w:val="00B53E8F"/>
    <w:rsid w:val="00B55F5D"/>
    <w:rsid w:val="00B73B3B"/>
    <w:rsid w:val="00B816C3"/>
    <w:rsid w:val="00B87A7D"/>
    <w:rsid w:val="00BA3E93"/>
    <w:rsid w:val="00BD682C"/>
    <w:rsid w:val="00BE476F"/>
    <w:rsid w:val="00C14614"/>
    <w:rsid w:val="00C43EED"/>
    <w:rsid w:val="00C77884"/>
    <w:rsid w:val="00C81A62"/>
    <w:rsid w:val="00CC3FE4"/>
    <w:rsid w:val="00D31D50"/>
    <w:rsid w:val="00D73F8B"/>
    <w:rsid w:val="00DE7F33"/>
    <w:rsid w:val="00E10BD3"/>
    <w:rsid w:val="00E160B8"/>
    <w:rsid w:val="00E85EA8"/>
    <w:rsid w:val="00EB0F18"/>
    <w:rsid w:val="00EB1F6D"/>
    <w:rsid w:val="00ED5EE1"/>
    <w:rsid w:val="00F053F6"/>
    <w:rsid w:val="00F1381A"/>
    <w:rsid w:val="00F46DC4"/>
    <w:rsid w:val="00F63F0B"/>
    <w:rsid w:val="00FB1ADF"/>
    <w:rsid w:val="00FB1EA8"/>
    <w:rsid w:val="00FC703F"/>
    <w:rsid w:val="00FF645E"/>
    <w:rsid w:val="0237326F"/>
    <w:rsid w:val="05342A9B"/>
    <w:rsid w:val="061705B8"/>
    <w:rsid w:val="0A476BE8"/>
    <w:rsid w:val="0B4F3BA2"/>
    <w:rsid w:val="0C384656"/>
    <w:rsid w:val="0D7511FD"/>
    <w:rsid w:val="0E5C5C92"/>
    <w:rsid w:val="0EDF41C0"/>
    <w:rsid w:val="1053759A"/>
    <w:rsid w:val="126857B5"/>
    <w:rsid w:val="127E6462"/>
    <w:rsid w:val="14EF691D"/>
    <w:rsid w:val="1B361DB6"/>
    <w:rsid w:val="1B517D86"/>
    <w:rsid w:val="1C306FB0"/>
    <w:rsid w:val="1E685D2E"/>
    <w:rsid w:val="1FCE2F9E"/>
    <w:rsid w:val="20841E01"/>
    <w:rsid w:val="23FC42FB"/>
    <w:rsid w:val="2604717A"/>
    <w:rsid w:val="27404005"/>
    <w:rsid w:val="28462905"/>
    <w:rsid w:val="30A94F25"/>
    <w:rsid w:val="30B73737"/>
    <w:rsid w:val="31585D5D"/>
    <w:rsid w:val="32CB6D37"/>
    <w:rsid w:val="32EC316E"/>
    <w:rsid w:val="33FB70D5"/>
    <w:rsid w:val="35D9431E"/>
    <w:rsid w:val="3612647C"/>
    <w:rsid w:val="369207F5"/>
    <w:rsid w:val="372A19E3"/>
    <w:rsid w:val="37406643"/>
    <w:rsid w:val="386A7098"/>
    <w:rsid w:val="3BC165FB"/>
    <w:rsid w:val="3CE265D1"/>
    <w:rsid w:val="3D9E434B"/>
    <w:rsid w:val="3DCC6D70"/>
    <w:rsid w:val="3E431DD5"/>
    <w:rsid w:val="3E4813D5"/>
    <w:rsid w:val="3FBD442F"/>
    <w:rsid w:val="40BD4424"/>
    <w:rsid w:val="40C766F5"/>
    <w:rsid w:val="40FA097C"/>
    <w:rsid w:val="416B74BF"/>
    <w:rsid w:val="428021A8"/>
    <w:rsid w:val="4291578E"/>
    <w:rsid w:val="42CE1530"/>
    <w:rsid w:val="435D254F"/>
    <w:rsid w:val="43A136D6"/>
    <w:rsid w:val="455C2774"/>
    <w:rsid w:val="4880329C"/>
    <w:rsid w:val="49293BCC"/>
    <w:rsid w:val="493402C5"/>
    <w:rsid w:val="4AD903C0"/>
    <w:rsid w:val="4BFD28FA"/>
    <w:rsid w:val="4DDC2D2E"/>
    <w:rsid w:val="4F6366CB"/>
    <w:rsid w:val="504A7DB6"/>
    <w:rsid w:val="516A7B42"/>
    <w:rsid w:val="518B7D57"/>
    <w:rsid w:val="5217177E"/>
    <w:rsid w:val="535132D3"/>
    <w:rsid w:val="56176040"/>
    <w:rsid w:val="59434DEB"/>
    <w:rsid w:val="5B0D3DD0"/>
    <w:rsid w:val="5B135AE0"/>
    <w:rsid w:val="5BB86DD5"/>
    <w:rsid w:val="5C0E1BF0"/>
    <w:rsid w:val="5D5B4A31"/>
    <w:rsid w:val="5D756D55"/>
    <w:rsid w:val="61222E09"/>
    <w:rsid w:val="64352CF4"/>
    <w:rsid w:val="65515529"/>
    <w:rsid w:val="65DD5681"/>
    <w:rsid w:val="675B6482"/>
    <w:rsid w:val="67884B50"/>
    <w:rsid w:val="6AB846BB"/>
    <w:rsid w:val="6F2463D6"/>
    <w:rsid w:val="6FB7361D"/>
    <w:rsid w:val="739B3321"/>
    <w:rsid w:val="73D62D19"/>
    <w:rsid w:val="75B30D35"/>
    <w:rsid w:val="76BB3A70"/>
    <w:rsid w:val="774B132E"/>
    <w:rsid w:val="790348FC"/>
    <w:rsid w:val="7981328D"/>
    <w:rsid w:val="7DD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066;&#22330;&#21150;&#25991;&#20214;\&#20998;&#26512;&#25253;&#21578;\2021&#24180;&#20998;&#26512;&#25253;&#21578;\&#20840;&#24180;\&#20840;&#24180;&#20998;&#26512;&#25253;&#21578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2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1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图1：20</a:t>
            </a:r>
            <a:r>
              <a:rPr lang="en-US" altLang="zh-CN" sz="11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21</a:t>
            </a:r>
            <a:r>
              <a:rPr sz="11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年济源产城融合示范区人力资源市场整体供求状况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43528562638454"/>
          <c:y val="0.041736036415977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4476665156321"/>
          <c:y val="0.146806343663611"/>
          <c:w val="0.807920253738106"/>
          <c:h val="0.7496580823512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"本期有效数"</c:f>
              <c:strCache>
                <c:ptCount val="1"/>
                <c:pt idx="0">
                  <c:v>本期有效数</c:v>
                </c:pt>
              </c:strCache>
            </c:strRef>
          </c:tx>
          <c:spPr>
            <a:solidFill>
              <a:srgbClr val="00206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0271862256456729"/>
                  <c:y val="0.0196420776953296"/>
                </c:manualLayout>
              </c:layout>
              <c:numFmt formatCode="General" sourceLinked="1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2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1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2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0436490615451768"/>
                </c:manualLayout>
              </c:layout>
              <c:numFmt formatCode="General" sourceLinked="1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2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2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[全年分析报告统计表.xls]总表1!$B$2:$D$2</c:f>
              <c:strCache>
                <c:ptCount val="3"/>
                <c:pt idx="0">
                  <c:v>需求人数</c:v>
                </c:pt>
                <c:pt idx="1">
                  <c:v>求职人数</c:v>
                </c:pt>
                <c:pt idx="2">
                  <c:v>达成意向数</c:v>
                </c:pt>
              </c:strCache>
            </c:strRef>
          </c:cat>
          <c:val>
            <c:numRef>
              <c:f>[全年分析报告统计表.xls]总表1!$B$3:$D$3</c:f>
              <c:numCache>
                <c:formatCode>General</c:formatCode>
                <c:ptCount val="3"/>
                <c:pt idx="0">
                  <c:v>38514</c:v>
                </c:pt>
                <c:pt idx="1">
                  <c:v>5837</c:v>
                </c:pt>
                <c:pt idx="2">
                  <c:v>8510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0"/>
        <c:overlap val="0"/>
        <c:axId val="915545264"/>
        <c:axId val="446842424"/>
      </c:barChart>
      <c:catAx>
        <c:axId val="9155452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b" anchorCtr="1"/>
          <a:lstStyle/>
          <a:p>
            <a:pPr>
              <a:defRPr lang="zh-CN" sz="102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46842424"/>
        <c:crosses val="autoZero"/>
        <c:auto val="0"/>
        <c:lblAlgn val="ctr"/>
        <c:lblOffset val="100"/>
        <c:tickLblSkip val="1"/>
        <c:noMultiLvlLbl val="0"/>
      </c:catAx>
      <c:valAx>
        <c:axId val="446842424"/>
        <c:scaling>
          <c:orientation val="minMax"/>
          <c:max val="40000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2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15545264"/>
        <c:crosses val="autoZero"/>
        <c:crossBetween val="between"/>
        <c:minorUnit val="1000"/>
      </c:valAx>
      <c:spPr>
        <a:solidFill>
          <a:schemeClr val="bg1">
            <a:lumMod val="75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 rot="0" wrap="square" anchor="ctr" anchorCtr="1"/>
    <a:lstStyle/>
    <a:p>
      <a:pPr>
        <a:defRPr lang="zh-CN" sz="1025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  <a:r>
              <a:t>图2：按产业分组的需求人数（人）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微软雅黑" panose="020B0503020204020204" pitchFamily="2" charset="-122"/>
              <a:ea typeface="微软雅黑" panose="020B0503020204020204" pitchFamily="2" charset="-122"/>
              <a:cs typeface="微软雅黑" panose="020B0503020204020204" pitchFamily="2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[全年分析报告统计表.xls]产业2!$B$2</c:f>
              <c:strCache>
                <c:ptCount val="1"/>
                <c:pt idx="0">
                  <c:v>需求人数（人）</c:v>
                </c:pt>
              </c:strCache>
            </c:strRef>
          </c:tx>
          <c:spPr>
            <a:ln w="19050"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explosion val="4"/>
          <c:dPt>
            <c:idx val="0"/>
            <c:bubble3D val="0"/>
            <c:explosion val="0"/>
            <c:spPr>
              <a:solidFill>
                <a:srgbClr val="C7C114"/>
              </a:solidFill>
              <a:ln w="19050"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77B50D"/>
              </a:solidFill>
              <a:ln w="19050"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2CA308"/>
              </a:solidFill>
              <a:ln w="19050"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chemeClr val="bg1"/>
                      </a:solidFill>
                    </a:uFill>
                    <a:latin typeface="微软雅黑" panose="020B0503020204020204" pitchFamily="2" charset="-122"/>
                    <a:ea typeface="微软雅黑" panose="020B0503020204020204" pitchFamily="2" charset="-122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[全年分析报告统计表.xls]产业2!$A$3:$A$5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[全年分析报告统计表.xls]产业2!$B$3:$B$5</c:f>
              <c:numCache>
                <c:formatCode>General</c:formatCode>
                <c:ptCount val="3"/>
                <c:pt idx="0">
                  <c:v>1047</c:v>
                </c:pt>
                <c:pt idx="1">
                  <c:v>18078</c:v>
                </c:pt>
                <c:pt idx="2">
                  <c:v>19389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12700" cap="flat" cmpd="sng" algn="ctr">
      <a:solidFill>
        <a:srgbClr val="000000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图3：按行业分组的需求人数 (%)</a:t>
            </a:r>
            <a:endParaRPr sz="11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54913197833742"/>
          <c:y val="0.030435084503326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0170853817887"/>
          <c:y val="0.112247396034784"/>
          <c:w val="0.717631819300721"/>
          <c:h val="0.79130518778149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[全年分析报告统计表.xls]行业3!$C$3:$C$21</c:f>
              <c:numCache>
                <c:formatCode>0.00_ </c:formatCode>
                <c:ptCount val="19"/>
                <c:pt idx="0">
                  <c:v>2.71849197694345</c:v>
                </c:pt>
                <c:pt idx="1">
                  <c:v>11.0842810406605</c:v>
                </c:pt>
                <c:pt idx="2">
                  <c:v>32.2168562081321</c:v>
                </c:pt>
                <c:pt idx="3">
                  <c:v>0.238874175624448</c:v>
                </c:pt>
                <c:pt idx="4">
                  <c:v>0.449187308511191</c:v>
                </c:pt>
                <c:pt idx="5">
                  <c:v>2.4588461338734</c:v>
                </c:pt>
                <c:pt idx="6">
                  <c:v>1.22033546242925</c:v>
                </c:pt>
                <c:pt idx="7">
                  <c:v>4.9618320610687</c:v>
                </c:pt>
                <c:pt idx="8">
                  <c:v>3.41953575323259</c:v>
                </c:pt>
                <c:pt idx="9">
                  <c:v>0.877602949576777</c:v>
                </c:pt>
                <c:pt idx="10">
                  <c:v>3.21701199563795</c:v>
                </c:pt>
                <c:pt idx="11">
                  <c:v>15.1425455678455</c:v>
                </c:pt>
                <c:pt idx="12">
                  <c:v>0.620553564937425</c:v>
                </c:pt>
                <c:pt idx="13">
                  <c:v>0.329750220698967</c:v>
                </c:pt>
                <c:pt idx="14">
                  <c:v>15.570961208911</c:v>
                </c:pt>
                <c:pt idx="15">
                  <c:v>4.38022537259178</c:v>
                </c:pt>
                <c:pt idx="16">
                  <c:v>0</c:v>
                </c:pt>
                <c:pt idx="17">
                  <c:v>0.534870436724308</c:v>
                </c:pt>
                <c:pt idx="18">
                  <c:v>0.558238562600613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0"/>
        <c:axId val="213040349"/>
        <c:axId val="782051568"/>
      </c:barChart>
      <c:catAx>
        <c:axId val="213040349"/>
        <c:scaling>
          <c:orientation val="minMax"/>
        </c:scaling>
        <c:delete val="0"/>
        <c:axPos val="l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5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82051568"/>
        <c:crosses val="autoZero"/>
        <c:auto val="1"/>
        <c:lblAlgn val="ctr"/>
        <c:lblOffset val="100"/>
        <c:tickLblSkip val="1"/>
        <c:noMultiLvlLbl val="0"/>
      </c:catAx>
      <c:valAx>
        <c:axId val="782051568"/>
        <c:scaling>
          <c:orientation val="minMax"/>
          <c:max val="35"/>
        </c:scaling>
        <c:delete val="0"/>
        <c:axPos val="b"/>
        <c:numFmt formatCode="0_);[Red]\(0\)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13040349"/>
        <c:crosses val="autoZero"/>
        <c:crossBetween val="between"/>
        <c:majorUnit val="5"/>
      </c:valAx>
      <c:spPr>
        <a:solidFill>
          <a:schemeClr val="accent4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65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图4：按职业分组的供求人数</a:t>
            </a:r>
            <a:endParaRPr sz="16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8993030956512"/>
          <c:y val="0.0297465506468137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1028447537463"/>
          <c:y val="0.138440232897768"/>
          <c:w val="0.77545359814204"/>
          <c:h val="0.746011300214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[全年分析报告统计表.xls]职业分组!$B$3</c:f>
              <c:strCache>
                <c:ptCount val="1"/>
                <c:pt idx="0">
                  <c:v>需求人数
(人)</c:v>
                </c:pt>
              </c:strCache>
            </c:strRef>
          </c:tx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[全年分析报告统计表.xls]职业分组!$A$4:$A$9</c:f>
              <c:strCache>
                <c:ptCount val="6"/>
                <c:pt idx="0">
                  <c:v>单位负责人</c:v>
                </c:pt>
                <c:pt idx="1">
                  <c:v>专业技术人员</c:v>
                </c:pt>
                <c:pt idx="2">
                  <c:v>办事人员和有关人员</c:v>
                </c:pt>
                <c:pt idx="3">
                  <c:v>商业和服务人员</c:v>
                </c:pt>
                <c:pt idx="4">
                  <c:v>农林牧渔水利生产人员</c:v>
                </c:pt>
                <c:pt idx="5">
                  <c:v>生产运输设备操作工</c:v>
                </c:pt>
              </c:strCache>
            </c:strRef>
          </c:cat>
          <c:val>
            <c:numRef>
              <c:f>[全年分析报告统计表.xls]职业分组!$B$4:$B$9</c:f>
              <c:numCache>
                <c:formatCode>General</c:formatCode>
                <c:ptCount val="6"/>
                <c:pt idx="0">
                  <c:v>2517</c:v>
                </c:pt>
                <c:pt idx="1">
                  <c:v>9336</c:v>
                </c:pt>
                <c:pt idx="2">
                  <c:v>2149</c:v>
                </c:pt>
                <c:pt idx="3">
                  <c:v>8286</c:v>
                </c:pt>
                <c:pt idx="4">
                  <c:v>291</c:v>
                </c:pt>
                <c:pt idx="5">
                  <c:v>15932</c:v>
                </c:pt>
              </c:numCache>
            </c:numRef>
          </c:val>
        </c:ser>
        <c:ser>
          <c:idx val="2"/>
          <c:order val="1"/>
          <c:tx>
            <c:strRef>
              <c:f>[全年分析报告统计表.xls]职业分组!$D$3</c:f>
              <c:strCache>
                <c:ptCount val="1"/>
                <c:pt idx="0">
                  <c:v>求职人数
（人）</c:v>
                </c:pt>
              </c:strCache>
            </c:strRef>
          </c:tx>
          <c:spPr>
            <a:solidFill>
              <a:srgbClr val="FFFFCC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[全年分析报告统计表.xls]职业分组!$A$4:$A$9</c:f>
              <c:strCache>
                <c:ptCount val="6"/>
                <c:pt idx="0">
                  <c:v>单位负责人</c:v>
                </c:pt>
                <c:pt idx="1">
                  <c:v>专业技术人员</c:v>
                </c:pt>
                <c:pt idx="2">
                  <c:v>办事人员和有关人员</c:v>
                </c:pt>
                <c:pt idx="3">
                  <c:v>商业和服务人员</c:v>
                </c:pt>
                <c:pt idx="4">
                  <c:v>农林牧渔水利生产人员</c:v>
                </c:pt>
                <c:pt idx="5">
                  <c:v>生产运输设备操作工</c:v>
                </c:pt>
              </c:strCache>
            </c:strRef>
          </c:cat>
          <c:val>
            <c:numRef>
              <c:f>[全年分析报告统计表.xls]职业分组!$D$4:$D$9</c:f>
              <c:numCache>
                <c:formatCode>General</c:formatCode>
                <c:ptCount val="6"/>
                <c:pt idx="0">
                  <c:v>305</c:v>
                </c:pt>
                <c:pt idx="1">
                  <c:v>1819</c:v>
                </c:pt>
                <c:pt idx="2">
                  <c:v>989</c:v>
                </c:pt>
                <c:pt idx="3">
                  <c:v>1089</c:v>
                </c:pt>
                <c:pt idx="4">
                  <c:v>4</c:v>
                </c:pt>
                <c:pt idx="5">
                  <c:v>1627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630176595"/>
        <c:axId val="858345980"/>
      </c:barChart>
      <c:catAx>
        <c:axId val="63017659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58345980"/>
        <c:crosses val="autoZero"/>
        <c:auto val="0"/>
        <c:lblAlgn val="ctr"/>
        <c:lblOffset val="100"/>
        <c:tickLblSkip val="1"/>
        <c:noMultiLvlLbl val="0"/>
      </c:catAx>
      <c:valAx>
        <c:axId val="85834598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30176595"/>
        <c:crosses val="autoZero"/>
        <c:crossBetween val="between"/>
      </c:valAx>
      <c:spPr>
        <a:solidFill>
          <a:srgbClr val="C0C0C0">
            <a:alpha val="100000"/>
          </a:srgbClr>
        </a:solidFill>
        <a:ln w="12700">
          <a:solidFill>
            <a:srgbClr val="808080">
              <a:alpha val="100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7006756095173"/>
          <c:y val="0.411792232101076"/>
          <c:w val="0.0955"/>
          <c:h val="0.16425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75" b="0" i="0" u="none" strike="noStrike" kern="1200" baseline="0">
                <a:solidFill>
                  <a:srgbClr val="000000"/>
                </a:solidFill>
                <a:latin typeface="+mn-ea"/>
                <a:ea typeface="+mn-ea"/>
                <a:cs typeface="宋体" panose="02010600030101010101" charset="-122"/>
              </a:defRPr>
            </a:pPr>
            <a:r>
              <a:rPr lang="zh-CN" altLang="en-US" sz="16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sz="16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5</a:t>
            </a:r>
            <a:r>
              <a:rPr lang="zh-CN" altLang="en-US" sz="16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：按性别分组的求职人数</a:t>
            </a:r>
            <a:endParaRPr lang="zh-CN" altLang="en-US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82243964920464"/>
          <c:y val="0.042826211205628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61730136342266"/>
          <c:y val="0.183033327392622"/>
          <c:w val="0.70862247296662"/>
          <c:h val="0.691178043129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[全年分析报告统计表.xls]性别!$B$3</c:f>
              <c:strCache>
                <c:ptCount val="1"/>
                <c:pt idx="0">
                  <c:v>需求人数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explosion val="0"/>
            <c:spPr>
              <a:ln>
                <a:solidFill>
                  <a:schemeClr val="tx1"/>
                </a:solidFill>
              </a:ln>
            </c:spPr>
          </c:dPt>
          <c:dLbls>
            <c:numFmt formatCode="General" sourceLinked="1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[全年分析报告统计表.xls]性别!$A$4:$A$6</c:f>
              <c:strCache>
                <c:ptCount val="3"/>
                <c:pt idx="0">
                  <c:v>男</c:v>
                </c:pt>
                <c:pt idx="1">
                  <c:v>女</c:v>
                </c:pt>
                <c:pt idx="2">
                  <c:v>无要求</c:v>
                </c:pt>
              </c:strCache>
            </c:strRef>
          </c:cat>
          <c:val>
            <c:numRef>
              <c:f>[全年分析报告统计表.xls]性别!$B$4:$B$6</c:f>
              <c:numCache>
                <c:formatCode>General</c:formatCode>
                <c:ptCount val="3"/>
                <c:pt idx="0">
                  <c:v>6783</c:v>
                </c:pt>
                <c:pt idx="1">
                  <c:v>5692</c:v>
                </c:pt>
                <c:pt idx="2">
                  <c:v>26039</c:v>
                </c:pt>
              </c:numCache>
            </c:numRef>
          </c:val>
        </c:ser>
        <c:ser>
          <c:idx val="1"/>
          <c:order val="1"/>
          <c:tx>
            <c:strRef>
              <c:f>[全年分析报告统计表.xls]性别!$D$3</c:f>
              <c:strCache>
                <c:ptCount val="1"/>
                <c:pt idx="0">
                  <c:v>求职人数（人）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[全年分析报告统计表.xls]性别!$A$4:$A$6</c:f>
              <c:strCache>
                <c:ptCount val="3"/>
                <c:pt idx="0">
                  <c:v>男</c:v>
                </c:pt>
                <c:pt idx="1">
                  <c:v>女</c:v>
                </c:pt>
                <c:pt idx="2">
                  <c:v>无要求</c:v>
                </c:pt>
              </c:strCache>
            </c:strRef>
          </c:cat>
          <c:val>
            <c:numRef>
              <c:f>[全年分析报告统计表.xls]性别!$D$4:$D$6</c:f>
              <c:numCache>
                <c:formatCode>General</c:formatCode>
                <c:ptCount val="3"/>
                <c:pt idx="0">
                  <c:v>3174</c:v>
                </c:pt>
                <c:pt idx="1">
                  <c:v>2663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6"/>
        <c:overlap val="0"/>
        <c:axId val="405498791"/>
        <c:axId val="223197224"/>
      </c:barChart>
      <c:catAx>
        <c:axId val="405498791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23197224"/>
        <c:crosses val="autoZero"/>
        <c:auto val="1"/>
        <c:lblAlgn val="ctr"/>
        <c:lblOffset val="100"/>
        <c:tickLblSkip val="1"/>
        <c:noMultiLvlLbl val="0"/>
      </c:catAx>
      <c:valAx>
        <c:axId val="223197224"/>
        <c:scaling>
          <c:orientation val="minMax"/>
          <c:max val="30000"/>
          <c:min val="0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05498791"/>
        <c:crosses val="autoZero"/>
        <c:crossBetween val="between"/>
        <c:majorUnit val="5000"/>
      </c:valAx>
      <c:spPr>
        <a:solidFill>
          <a:schemeClr val="accent1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926657263752"/>
          <c:y val="0.455355551595081"/>
          <c:w val="0.1635"/>
          <c:h val="0.1357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8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3175" cap="flat" cmpd="sng" algn="ctr">
      <a:solidFill>
        <a:srgbClr val="000000"/>
      </a:solidFill>
      <a:prstDash val="solid"/>
      <a:round/>
    </a:ln>
  </c:spPr>
  <c:txPr>
    <a:bodyPr rot="0" wrap="square" anchor="ctr" anchorCtr="1"/>
    <a:lstStyle/>
    <a:p>
      <a:pPr>
        <a:defRPr lang="zh-CN" sz="1075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图6：按年龄分组的供求人数</a:t>
            </a:r>
            <a:endParaRPr sz="11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24375370485813"/>
          <c:y val="0.0362128689345587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834538318529229"/>
          <c:y val="0.123716632443532"/>
          <c:w val="0.742305308820492"/>
          <c:h val="0.784223134839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[全年分析报告统计表.xls]年龄!$B$3</c:f>
              <c:strCache>
                <c:ptCount val="1"/>
                <c:pt idx="0">
                  <c:v>需求人数</c:v>
                </c:pt>
              </c:strCache>
            </c:strRef>
          </c:tx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alpha val="100000"/>
                        </a:scheme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alpha val="100000"/>
                        </a:scheme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alpha val="100000"/>
                        </a:scheme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alpha val="100000"/>
                        </a:scheme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alpha val="100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[全年分析报告统计表.xls]年龄!$A$4:$A$7</c:f>
              <c:strCache>
                <c:ptCount val="4"/>
                <c:pt idx="0">
                  <c:v>16-24岁</c:v>
                </c:pt>
                <c:pt idx="1">
                  <c:v>25-34岁</c:v>
                </c:pt>
                <c:pt idx="2">
                  <c:v>35-44岁</c:v>
                </c:pt>
                <c:pt idx="3">
                  <c:v>45岁以上</c:v>
                </c:pt>
              </c:strCache>
            </c:strRef>
          </c:cat>
          <c:val>
            <c:numRef>
              <c:f>[全年分析报告统计表.xls]年龄!$B$4:$B$7</c:f>
              <c:numCache>
                <c:formatCode>General</c:formatCode>
                <c:ptCount val="4"/>
                <c:pt idx="0">
                  <c:v>524</c:v>
                </c:pt>
                <c:pt idx="1">
                  <c:v>3428</c:v>
                </c:pt>
                <c:pt idx="2">
                  <c:v>2436</c:v>
                </c:pt>
                <c:pt idx="3">
                  <c:v>452</c:v>
                </c:pt>
              </c:numCache>
            </c:numRef>
          </c:val>
        </c:ser>
        <c:ser>
          <c:idx val="1"/>
          <c:order val="1"/>
          <c:tx>
            <c:strRef>
              <c:f>[全年分析报告统计表.xls]年龄!$D$3</c:f>
              <c:strCache>
                <c:ptCount val="1"/>
                <c:pt idx="0">
                  <c:v>求职人数（人）</c:v>
                </c:pt>
              </c:strCache>
            </c:strRef>
          </c:tx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chemeClr val="tx1">
                          <a:alpha val="100000"/>
                        </a:schemeClr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chemeClr val="tx1">
                          <a:alpha val="100000"/>
                        </a:schemeClr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chemeClr val="tx1">
                          <a:alpha val="100000"/>
                        </a:schemeClr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chemeClr val="tx1">
                          <a:alpha val="100000"/>
                        </a:schemeClr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tx1">
                        <a:alpha val="100000"/>
                      </a:schemeClr>
                    </a:solidFill>
                    <a:uFill>
                      <a:solidFill>
                        <a:schemeClr val="tx1"/>
                      </a:solidFill>
                    </a:u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[全年分析报告统计表.xls]年龄!$A$4:$A$7</c:f>
              <c:strCache>
                <c:ptCount val="4"/>
                <c:pt idx="0">
                  <c:v>16-24岁</c:v>
                </c:pt>
                <c:pt idx="1">
                  <c:v>25-34岁</c:v>
                </c:pt>
                <c:pt idx="2">
                  <c:v>35-44岁</c:v>
                </c:pt>
                <c:pt idx="3">
                  <c:v>45岁以上</c:v>
                </c:pt>
              </c:strCache>
            </c:strRef>
          </c:cat>
          <c:val>
            <c:numRef>
              <c:f>[全年分析报告统计表.xls]年龄!$D$4:$D$7</c:f>
              <c:numCache>
                <c:formatCode>General</c:formatCode>
                <c:ptCount val="4"/>
                <c:pt idx="0">
                  <c:v>621</c:v>
                </c:pt>
                <c:pt idx="1">
                  <c:v>2949</c:v>
                </c:pt>
                <c:pt idx="2">
                  <c:v>1769</c:v>
                </c:pt>
                <c:pt idx="3">
                  <c:v>498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2332985"/>
        <c:axId val="297774252"/>
      </c:barChart>
      <c:catAx>
        <c:axId val="1233298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97774252"/>
        <c:crosses val="autoZero"/>
        <c:auto val="1"/>
        <c:lblAlgn val="ctr"/>
        <c:lblOffset val="100"/>
        <c:tickLblSkip val="1"/>
        <c:noMultiLvlLbl val="0"/>
      </c:catAx>
      <c:valAx>
        <c:axId val="297774252"/>
        <c:scaling>
          <c:orientation val="minMax"/>
          <c:max val="4000"/>
          <c:min val="0"/>
        </c:scaling>
        <c:delete val="0"/>
        <c:axPos val="l"/>
        <c:majorGridlines>
          <c:spPr>
            <a:ln w="3175" cap="flat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2332985"/>
        <c:crosses val="autoZero"/>
        <c:crossBetween val="between"/>
        <c:majorUnit val="500"/>
      </c:valAx>
      <c:spPr>
        <a:solidFill>
          <a:srgbClr val="C0C0C0">
            <a:alpha val="100000"/>
          </a:srgbClr>
        </a:solidFill>
        <a:ln w="12700">
          <a:solidFill>
            <a:srgbClr val="808080">
              <a:alpha val="100000"/>
            </a:srgbClr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84724230530882"/>
          <c:y val="0.427984243877376"/>
          <c:w val="0.117950836604007"/>
          <c:h val="0.180167836958383"/>
        </c:manualLayout>
      </c:layout>
      <c:overlay val="0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图7：按文化程度分组的供求人数</a:t>
            </a:r>
            <a:endParaRPr sz="1400" b="1" i="0" u="none" strike="noStrike" baseline="0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13575738160073"/>
          <c:y val="0.023840435176790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92119173474291"/>
          <c:y val="0.148444444444444"/>
          <c:w val="0.74440172993753"/>
          <c:h val="0.74140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"需求人数"</c:f>
              <c:strCache>
                <c:ptCount val="1"/>
                <c:pt idx="0">
                  <c:v>需求人数</c:v>
                </c:pt>
              </c:strCache>
            </c:strRef>
          </c:tx>
          <c:spPr>
            <a:solidFill>
              <a:srgbClr val="B15B9C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[全年分析报告统计表.xls]文化程度!$A$4:$A$8</c:f>
              <c:strCache>
                <c:ptCount val="5"/>
                <c:pt idx="0">
                  <c:v>初中</c:v>
                </c:pt>
                <c:pt idx="1">
                  <c:v>高中</c:v>
                </c:pt>
                <c:pt idx="2">
                  <c:v>大专</c:v>
                </c:pt>
                <c:pt idx="3">
                  <c:v>本科</c:v>
                </c:pt>
                <c:pt idx="4">
                  <c:v>硕士以上</c:v>
                </c:pt>
              </c:strCache>
            </c:strRef>
          </c:cat>
          <c:val>
            <c:numRef>
              <c:f>[全年分析报告统计表.xls]文化程度!$B$4:$B$7</c:f>
              <c:numCache>
                <c:formatCode>General</c:formatCode>
                <c:ptCount val="4"/>
                <c:pt idx="0">
                  <c:v>1014</c:v>
                </c:pt>
                <c:pt idx="1">
                  <c:v>8658</c:v>
                </c:pt>
                <c:pt idx="2">
                  <c:v>7137</c:v>
                </c:pt>
                <c:pt idx="3">
                  <c:v>4782</c:v>
                </c:pt>
              </c:numCache>
            </c:numRef>
          </c:val>
        </c:ser>
        <c:ser>
          <c:idx val="2"/>
          <c:order val="1"/>
          <c:tx>
            <c:strRef>
              <c:f>"求职人数"</c:f>
              <c:strCache>
                <c:ptCount val="1"/>
                <c:pt idx="0">
                  <c:v>求职人数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[全年分析报告统计表.xls]文化程度!$A$4:$A$8</c:f>
              <c:strCache>
                <c:ptCount val="5"/>
                <c:pt idx="0">
                  <c:v>初中</c:v>
                </c:pt>
                <c:pt idx="1">
                  <c:v>高中</c:v>
                </c:pt>
                <c:pt idx="2">
                  <c:v>大专</c:v>
                </c:pt>
                <c:pt idx="3">
                  <c:v>本科</c:v>
                </c:pt>
                <c:pt idx="4">
                  <c:v>硕士以上</c:v>
                </c:pt>
              </c:strCache>
            </c:strRef>
          </c:cat>
          <c:val>
            <c:numRef>
              <c:f>[全年分析报告统计表.xls]文化程度!$D$4:$D$7</c:f>
              <c:numCache>
                <c:formatCode>General</c:formatCode>
                <c:ptCount val="4"/>
                <c:pt idx="0">
                  <c:v>228</c:v>
                </c:pt>
                <c:pt idx="1">
                  <c:v>557</c:v>
                </c:pt>
                <c:pt idx="2">
                  <c:v>1920</c:v>
                </c:pt>
                <c:pt idx="3">
                  <c:v>2768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5527559"/>
        <c:axId val="365915332"/>
      </c:barChart>
      <c:catAx>
        <c:axId val="83552755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65915332"/>
        <c:crosses val="autoZero"/>
        <c:auto val="1"/>
        <c:lblAlgn val="ctr"/>
        <c:lblOffset val="100"/>
        <c:noMultiLvlLbl val="0"/>
      </c:catAx>
      <c:valAx>
        <c:axId val="3659153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35527559"/>
        <c:crosses val="autoZero"/>
        <c:crossBetween val="between"/>
        <c:majorUnit val="1000"/>
      </c:valAx>
      <c:spPr>
        <a:solidFill>
          <a:schemeClr val="bg1">
            <a:lumMod val="65000"/>
          </a:schemeClr>
        </a:solidFill>
        <a:ln w="12700" cap="flat" cmpd="sng" algn="ctr">
          <a:solidFill>
            <a:srgbClr val="000000"/>
          </a:solidFill>
          <a:prstDash val="solid"/>
        </a:ln>
        <a:sp3d>
          <a:extrusionClr>
            <a:srgbClr val="FFFFFF"/>
          </a:extrusionClr>
          <a:contourClr>
            <a:srgbClr val="FFFFFF"/>
          </a:contourClr>
        </a:sp3d>
      </c:spPr>
    </c:plotArea>
    <c:legend>
      <c:legendPos val="b"/>
      <c:layout>
        <c:manualLayout>
          <c:xMode val="edge"/>
          <c:yMode val="edge"/>
          <c:x val="0.844425756847669"/>
          <c:y val="0.471441523118767"/>
          <c:w val="0.142359442575685"/>
          <c:h val="0.1116953762466"/>
        </c:manualLayout>
      </c:layout>
      <c:overlay val="0"/>
      <c:spPr>
        <a:noFill/>
        <a:ln>
          <a:solidFill>
            <a:srgbClr val="000000"/>
          </a:solidFill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0000"/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85562632696391"/>
          <c:y val="0.113590844062947"/>
          <c:w val="0.753290870488323"/>
          <c:h val="0.789842632331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[全年分析报告统计表.xls]薪水要求!$B$3</c:f>
              <c:strCache>
                <c:ptCount val="1"/>
                <c:pt idx="0">
                  <c:v>需求人数（人）</c:v>
                </c:pt>
              </c:strCache>
            </c:strRef>
          </c:tx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[全年分析报告统计表.xls]薪水要求!$A$4:$A$8</c:f>
              <c:strCache>
                <c:ptCount val="5"/>
                <c:pt idx="0">
                  <c:v>2000元及以下</c:v>
                </c:pt>
                <c:pt idx="1">
                  <c:v>2001-3000元</c:v>
                </c:pt>
                <c:pt idx="2">
                  <c:v>3001-4000元</c:v>
                </c:pt>
                <c:pt idx="3">
                  <c:v>4001-5000元</c:v>
                </c:pt>
                <c:pt idx="4">
                  <c:v>5000元以上</c:v>
                </c:pt>
              </c:strCache>
            </c:strRef>
          </c:cat>
          <c:val>
            <c:numRef>
              <c:f>[全年分析报告统计表.xls]薪水要求!$B$4:$B$8</c:f>
              <c:numCache>
                <c:formatCode>General</c:formatCode>
                <c:ptCount val="5"/>
                <c:pt idx="0">
                  <c:v>432</c:v>
                </c:pt>
                <c:pt idx="1">
                  <c:v>7190</c:v>
                </c:pt>
                <c:pt idx="2">
                  <c:v>13029</c:v>
                </c:pt>
                <c:pt idx="3">
                  <c:v>9109</c:v>
                </c:pt>
                <c:pt idx="4">
                  <c:v>8754</c:v>
                </c:pt>
              </c:numCache>
            </c:numRef>
          </c:val>
        </c:ser>
        <c:ser>
          <c:idx val="1"/>
          <c:order val="1"/>
          <c:tx>
            <c:strRef>
              <c:f>[全年分析报告统计表.xls]薪水要求!$D$3</c:f>
              <c:strCache>
                <c:ptCount val="1"/>
                <c:pt idx="0">
                  <c:v>求职人数（人）</c:v>
                </c:pt>
              </c:strCache>
            </c:strRef>
          </c:tx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[全年分析报告统计表.xls]薪水要求!$A$4:$A$8</c:f>
              <c:strCache>
                <c:ptCount val="5"/>
                <c:pt idx="0">
                  <c:v>2000元及以下</c:v>
                </c:pt>
                <c:pt idx="1">
                  <c:v>2001-3000元</c:v>
                </c:pt>
                <c:pt idx="2">
                  <c:v>3001-4000元</c:v>
                </c:pt>
                <c:pt idx="3">
                  <c:v>4001-5000元</c:v>
                </c:pt>
                <c:pt idx="4">
                  <c:v>5000元以上</c:v>
                </c:pt>
              </c:strCache>
            </c:strRef>
          </c:cat>
          <c:val>
            <c:numRef>
              <c:f>[全年分析报告统计表.xls]薪水要求!$D$4:$D$8</c:f>
              <c:numCache>
                <c:formatCode>General</c:formatCode>
                <c:ptCount val="5"/>
                <c:pt idx="0">
                  <c:v>47</c:v>
                </c:pt>
                <c:pt idx="1">
                  <c:v>923</c:v>
                </c:pt>
                <c:pt idx="2">
                  <c:v>2132</c:v>
                </c:pt>
                <c:pt idx="3">
                  <c:v>1669</c:v>
                </c:pt>
                <c:pt idx="4">
                  <c:v>1066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overlap val="-34"/>
        <c:axId val="227241539"/>
        <c:axId val="521625612"/>
      </c:barChart>
      <c:catAx>
        <c:axId val="22724153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8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sz="1400" b="1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表</a:t>
                </a:r>
                <a:r>
                  <a:rPr lang="en-US" sz="1400" b="1" i="0" u="none" strike="noStrike" baseline="0">
                    <a:solidFill>
                      <a:srgbClr val="000000"/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rPr>
                  <a:t>8</a:t>
                </a:r>
                <a:r>
                  <a:rPr lang="zh-CN" sz="1400" b="1" i="0" u="none" strike="noStrike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rPr>
                  <a:t>：求职者薪资要求分组对比情况</a:t>
                </a:r>
                <a:endParaRPr lang="zh-CN" sz="1400" b="0" i="0" u="none" strike="noStrike" baseline="0">
                  <a:solidFill>
                    <a:srgbClr val="000000"/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232867044485681"/>
              <c:y val="0.0251867705693266"/>
            </c:manualLayout>
          </c:layout>
          <c:overlay val="0"/>
        </c:title>
        <c:majorTickMark val="out"/>
        <c:minorTickMark val="cross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  <c:crossAx val="521625612"/>
        <c:crosses val="autoZero"/>
        <c:auto val="1"/>
        <c:lblAlgn val="ctr"/>
        <c:lblOffset val="100"/>
        <c:noMultiLvlLbl val="0"/>
      </c:catAx>
      <c:valAx>
        <c:axId val="521625612"/>
        <c:scaling>
          <c:orientation val="minMax"/>
          <c:max val="1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  <c:crossAx val="227241539"/>
        <c:crosses val="autoZero"/>
        <c:crossBetween val="between"/>
        <c:majorUnit val="2000"/>
      </c:valAx>
      <c:spPr>
        <a:ln w="12700" cmpd="sng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6963906581741"/>
          <c:y val="0.436480686695279"/>
          <c:w val="0.144"/>
          <c:h val="0.15575"/>
        </c:manualLayout>
      </c:layout>
      <c:overlay val="0"/>
      <c:spPr>
        <a:ln w="12700" cmpd="sng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2FBAF-C8C7-42BF-982D-338FA9E95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296</Words>
  <Characters>1692</Characters>
  <Lines>14</Lines>
  <Paragraphs>3</Paragraphs>
  <TotalTime>6</TotalTime>
  <ScaleCrop>false</ScaleCrop>
  <LinksUpToDate>false</LinksUpToDate>
  <CharactersWithSpaces>1985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大小姐</cp:lastModifiedBy>
  <dcterms:modified xsi:type="dcterms:W3CDTF">2022-02-19T00:30:04Z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FC35E5AD82AE4B80B54040FC8820BF52</vt:lpwstr>
  </property>
</Properties>
</file>