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exact"/>
        <w:rPr>
          <w:rFonts w:ascii="宋体" w:hAnsi="宋体" w:eastAsia="黑体" w:cs="宋体"/>
          <w:bCs/>
          <w:sz w:val="32"/>
          <w:szCs w:val="32"/>
        </w:rPr>
      </w:pPr>
      <w:r>
        <w:rPr>
          <w:rFonts w:ascii="宋体" w:hAnsi="宋体" w:eastAsia="黑体" w:cs="宋体"/>
          <w:bCs/>
          <w:sz w:val="32"/>
          <w:szCs w:val="32"/>
        </w:rPr>
        <w:t>附件</w:t>
      </w:r>
    </w:p>
    <w:p>
      <w:pPr>
        <w:spacing w:line="600" w:lineRule="exact"/>
        <w:jc w:val="center"/>
        <w:rPr>
          <w:rFonts w:ascii="宋体" w:hAnsi="宋体" w:eastAsia="方正小标宋简体" w:cs="宋体"/>
          <w:bCs/>
          <w:sz w:val="44"/>
          <w:szCs w:val="44"/>
        </w:rPr>
      </w:pPr>
      <w:r>
        <w:rPr>
          <w:rFonts w:hint="eastAsia" w:ascii="宋体" w:hAnsi="宋体" w:eastAsia="方正小标宋简体" w:cs="宋体"/>
          <w:bCs/>
          <w:sz w:val="44"/>
          <w:szCs w:val="44"/>
        </w:rPr>
        <w:t>济源示范区根治拖欠农民工工资工作领导小组成员单位职责</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7"/>
        <w:gridCol w:w="11"/>
        <w:gridCol w:w="10419"/>
        <w:gridCol w:w="12"/>
        <w:gridCol w:w="2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shd w:val="clear" w:color="auto" w:fill="auto"/>
            <w:noWrap w:val="0"/>
            <w:vAlign w:val="center"/>
          </w:tcPr>
          <w:p>
            <w:pPr>
              <w:autoSpaceDE w:val="0"/>
              <w:autoSpaceDN w:val="0"/>
              <w:spacing w:line="280" w:lineRule="exact"/>
              <w:jc w:val="center"/>
              <w:rPr>
                <w:rFonts w:hint="eastAsia" w:ascii="宋体" w:hAnsi="宋体" w:eastAsia="黑体" w:cs="黑体"/>
                <w:bCs/>
                <w:szCs w:val="21"/>
              </w:rPr>
            </w:pPr>
            <w:r>
              <w:rPr>
                <w:rFonts w:hint="eastAsia" w:ascii="宋体" w:hAnsi="宋体" w:eastAsia="黑体" w:cs="黑体"/>
                <w:bCs/>
                <w:szCs w:val="21"/>
              </w:rPr>
              <w:t>内  容</w:t>
            </w:r>
          </w:p>
        </w:tc>
        <w:tc>
          <w:tcPr>
            <w:tcW w:w="10442" w:type="dxa"/>
            <w:gridSpan w:val="3"/>
            <w:shd w:val="clear" w:color="auto" w:fill="auto"/>
            <w:noWrap w:val="0"/>
            <w:vAlign w:val="center"/>
          </w:tcPr>
          <w:p>
            <w:pPr>
              <w:autoSpaceDE w:val="0"/>
              <w:autoSpaceDN w:val="0"/>
              <w:spacing w:line="280" w:lineRule="exact"/>
              <w:jc w:val="center"/>
              <w:rPr>
                <w:rFonts w:ascii="宋体" w:hAnsi="宋体" w:eastAsia="黑体" w:cs="黑体"/>
                <w:bCs/>
                <w:szCs w:val="21"/>
              </w:rPr>
            </w:pPr>
            <w:r>
              <w:rPr>
                <w:rFonts w:hint="eastAsia" w:ascii="宋体" w:hAnsi="宋体" w:eastAsia="黑体" w:cs="黑体"/>
                <w:bCs/>
                <w:szCs w:val="21"/>
              </w:rPr>
              <w:t>部  门  职  责</w:t>
            </w:r>
          </w:p>
        </w:tc>
        <w:tc>
          <w:tcPr>
            <w:tcW w:w="2127" w:type="dxa"/>
            <w:shd w:val="solid" w:color="FFFFFF" w:fill="auto"/>
            <w:noWrap w:val="0"/>
            <w:vAlign w:val="center"/>
          </w:tcPr>
          <w:p>
            <w:pPr>
              <w:autoSpaceDE w:val="0"/>
              <w:autoSpaceDN w:val="0"/>
              <w:spacing w:line="280" w:lineRule="exact"/>
              <w:jc w:val="center"/>
              <w:rPr>
                <w:rFonts w:ascii="宋体" w:hAnsi="宋体" w:eastAsia="黑体" w:cs="黑体"/>
                <w:bCs/>
                <w:szCs w:val="21"/>
              </w:rPr>
            </w:pPr>
            <w:r>
              <w:rPr>
                <w:rFonts w:hint="eastAsia" w:ascii="宋体" w:hAnsi="宋体" w:eastAsia="黑体" w:cs="黑体"/>
                <w:bCs/>
                <w:szCs w:val="21"/>
              </w:rPr>
              <w:t>责任部门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196" w:type="dxa"/>
            <w:gridSpan w:val="5"/>
            <w:noWrap w:val="0"/>
            <w:vAlign w:val="center"/>
          </w:tcPr>
          <w:p>
            <w:pPr>
              <w:autoSpaceDE w:val="0"/>
              <w:autoSpaceDN w:val="0"/>
              <w:spacing w:line="280" w:lineRule="exact"/>
              <w:jc w:val="center"/>
              <w:rPr>
                <w:rFonts w:ascii="宋体" w:hAnsi="宋体" w:eastAsia="仿宋_GB2312"/>
                <w:b/>
                <w:szCs w:val="21"/>
              </w:rPr>
            </w:pPr>
            <w:r>
              <w:rPr>
                <w:rFonts w:hint="eastAsia" w:ascii="宋体" w:hAnsi="宋体" w:eastAsia="仿宋_GB2312" w:cs="黑体"/>
                <w:b/>
                <w:szCs w:val="21"/>
              </w:rPr>
              <w:t>一、组织领导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（一）落实政府属地管理、分级负责的工作机制</w:t>
            </w:r>
          </w:p>
        </w:tc>
        <w:tc>
          <w:tcPr>
            <w:tcW w:w="10442" w:type="dxa"/>
            <w:gridSpan w:val="3"/>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1.落实由政府负责人担任召集人的工作协调机制，定期召开会议研究会商根治欠薪工作；</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2.制定示范区根治欠薪年度工作计划并进行总结；</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3.制定《保障农民工工资支付条例》实施方案，细化职责分工、明确责任部门、明确具体时</w:t>
            </w:r>
            <w:bookmarkStart w:id="0" w:name="_GoBack"/>
            <w:bookmarkEnd w:id="0"/>
            <w:r>
              <w:rPr>
                <w:rFonts w:hint="eastAsia" w:ascii="宋体" w:hAnsi="宋体" w:eastAsia="仿宋_GB2312" w:cs="仿宋"/>
                <w:szCs w:val="21"/>
              </w:rPr>
              <w:t>间安排、方法步骤等内容。</w:t>
            </w:r>
          </w:p>
        </w:tc>
        <w:tc>
          <w:tcPr>
            <w:tcW w:w="2127" w:type="dxa"/>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领导小组办公室</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各片区管理办公室</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各镇人民政府</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各街道办事处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vMerge w:val="restart"/>
            <w:shd w:val="clear" w:color="auto" w:fill="auto"/>
            <w:noWrap w:val="0"/>
            <w:vAlign w:val="center"/>
          </w:tcPr>
          <w:p>
            <w:pPr>
              <w:autoSpaceDE w:val="0"/>
              <w:autoSpaceDN w:val="0"/>
              <w:spacing w:line="280" w:lineRule="exact"/>
              <w:jc w:val="center"/>
              <w:rPr>
                <w:rFonts w:hint="eastAsia" w:ascii="宋体" w:hAnsi="宋体" w:eastAsia="仿宋_GB2312" w:cs="仿宋"/>
                <w:szCs w:val="21"/>
              </w:rPr>
            </w:pPr>
            <w:r>
              <w:rPr>
                <w:rFonts w:hint="eastAsia" w:ascii="宋体" w:hAnsi="宋体" w:eastAsia="仿宋_GB2312" w:cs="仿宋"/>
                <w:szCs w:val="21"/>
              </w:rPr>
              <w:t>(二)对根治欠薪工作</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进行督促指导</w:t>
            </w:r>
          </w:p>
        </w:tc>
        <w:tc>
          <w:tcPr>
            <w:tcW w:w="10442" w:type="dxa"/>
            <w:gridSpan w:val="3"/>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4.依规对各成员单位根治欠薪工作进行督促指导；</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5.督办、转办或直接查处上级交办案件（并建立台账和案卷）。</w:t>
            </w:r>
          </w:p>
        </w:tc>
        <w:tc>
          <w:tcPr>
            <w:tcW w:w="2127" w:type="dxa"/>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领导小组办公室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vMerge w:val="continue"/>
            <w:shd w:val="clear" w:color="auto" w:fill="auto"/>
            <w:noWrap w:val="0"/>
            <w:vAlign w:val="center"/>
          </w:tcPr>
          <w:p>
            <w:pPr>
              <w:autoSpaceDE w:val="0"/>
              <w:autoSpaceDN w:val="0"/>
              <w:spacing w:line="280" w:lineRule="exact"/>
              <w:jc w:val="center"/>
              <w:rPr>
                <w:rFonts w:ascii="宋体" w:hAnsi="宋体" w:eastAsia="仿宋_GB2312" w:cs="仿宋"/>
                <w:szCs w:val="21"/>
              </w:rPr>
            </w:pPr>
          </w:p>
        </w:tc>
        <w:tc>
          <w:tcPr>
            <w:tcW w:w="10442" w:type="dxa"/>
            <w:gridSpan w:val="3"/>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6.建立济源建设工程项目台账、欠薪问题排查台账、欠薪举报投诉台账、欠薪案件办理台账等“四个台账”，并动态更新。</w:t>
            </w:r>
          </w:p>
        </w:tc>
        <w:tc>
          <w:tcPr>
            <w:tcW w:w="2127" w:type="dxa"/>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人社局、住建局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vMerge w:val="restart"/>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(三)建立并落实根治欠薪工作问责制度</w:t>
            </w:r>
          </w:p>
        </w:tc>
        <w:tc>
          <w:tcPr>
            <w:tcW w:w="10442" w:type="dxa"/>
            <w:gridSpan w:val="3"/>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7.建立并落实示范区根治欠薪工作问责制度。</w:t>
            </w:r>
          </w:p>
        </w:tc>
        <w:tc>
          <w:tcPr>
            <w:tcW w:w="2127" w:type="dxa"/>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领导小组办公室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vMerge w:val="continue"/>
            <w:shd w:val="clear" w:color="auto" w:fill="auto"/>
            <w:noWrap w:val="0"/>
            <w:vAlign w:val="center"/>
          </w:tcPr>
          <w:p>
            <w:pPr>
              <w:autoSpaceDE w:val="0"/>
              <w:autoSpaceDN w:val="0"/>
              <w:spacing w:line="280" w:lineRule="exact"/>
              <w:jc w:val="center"/>
              <w:rPr>
                <w:rFonts w:ascii="宋体" w:hAnsi="宋体" w:eastAsia="仿宋_GB2312" w:cs="仿宋"/>
                <w:szCs w:val="21"/>
              </w:rPr>
            </w:pPr>
          </w:p>
        </w:tc>
        <w:tc>
          <w:tcPr>
            <w:tcW w:w="10442" w:type="dxa"/>
            <w:gridSpan w:val="3"/>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8.对履职不力的相关单位，按问责制度进行问责。</w:t>
            </w:r>
          </w:p>
        </w:tc>
        <w:tc>
          <w:tcPr>
            <w:tcW w:w="2127" w:type="dxa"/>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纪委监察委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shd w:val="clear" w:color="auto" w:fill="auto"/>
            <w:noWrap w:val="0"/>
            <w:vAlign w:val="center"/>
          </w:tcPr>
          <w:p>
            <w:pPr>
              <w:numPr>
                <w:ilvl w:val="0"/>
                <w:numId w:val="1"/>
              </w:numPr>
              <w:autoSpaceDE w:val="0"/>
              <w:autoSpaceDN w:val="0"/>
              <w:spacing w:line="280" w:lineRule="exact"/>
              <w:jc w:val="center"/>
              <w:rPr>
                <w:rFonts w:hint="eastAsia" w:ascii="宋体" w:hAnsi="宋体" w:eastAsia="仿宋_GB2312" w:cs="仿宋"/>
                <w:szCs w:val="21"/>
              </w:rPr>
            </w:pPr>
            <w:r>
              <w:rPr>
                <w:rFonts w:hint="eastAsia" w:ascii="宋体" w:hAnsi="宋体" w:eastAsia="仿宋_GB2312" w:cs="仿宋"/>
                <w:szCs w:val="21"/>
              </w:rPr>
              <w:t>加强根治欠薪工作</w:t>
            </w:r>
          </w:p>
          <w:p>
            <w:pPr>
              <w:autoSpaceDE w:val="0"/>
              <w:autoSpaceDN w:val="0"/>
              <w:spacing w:line="280" w:lineRule="exact"/>
              <w:rPr>
                <w:rFonts w:ascii="宋体" w:hAnsi="宋体" w:eastAsia="仿宋_GB2312" w:cs="仿宋"/>
                <w:szCs w:val="21"/>
              </w:rPr>
            </w:pPr>
            <w:r>
              <w:rPr>
                <w:rFonts w:hint="eastAsia" w:ascii="宋体" w:hAnsi="宋体" w:eastAsia="仿宋_GB2312" w:cs="仿宋"/>
                <w:szCs w:val="21"/>
              </w:rPr>
              <w:t xml:space="preserve">          宣传</w:t>
            </w:r>
          </w:p>
        </w:tc>
        <w:tc>
          <w:tcPr>
            <w:tcW w:w="10442" w:type="dxa"/>
            <w:gridSpan w:val="3"/>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9.组织开展《保障农民工工资支付条例》宣传活动，通过示范区主要新闻媒体对根治欠薪重要会议、专项执法行动、大型活动开展宣传报道，每年不少于4次；</w:t>
            </w:r>
            <w:r>
              <w:rPr>
                <w:rFonts w:ascii="宋体" w:hAnsi="宋体" w:eastAsia="仿宋_GB2312" w:cs="仿宋"/>
                <w:szCs w:val="21"/>
              </w:rPr>
              <w:br w:type="textWrapping"/>
            </w:r>
            <w:r>
              <w:rPr>
                <w:rFonts w:hint="eastAsia" w:ascii="宋体" w:hAnsi="宋体" w:eastAsia="仿宋_GB2312" w:cs="仿宋"/>
                <w:szCs w:val="21"/>
              </w:rPr>
              <w:t>10.组织开展《保障农民工工资支付条例》学习培训，包括执法人员、成员单位监管人员、企业管理人员（含线上、线下培训）；</w:t>
            </w:r>
          </w:p>
          <w:p>
            <w:pPr>
              <w:pStyle w:val="5"/>
              <w:spacing w:line="280" w:lineRule="exact"/>
              <w:rPr>
                <w:rFonts w:ascii="宋体" w:hAnsi="宋体" w:eastAsia="仿宋_GB2312" w:cs="仿宋"/>
                <w:kern w:val="2"/>
              </w:rPr>
            </w:pPr>
            <w:r>
              <w:rPr>
                <w:rFonts w:ascii="宋体" w:hAnsi="宋体" w:eastAsia="仿宋_GB2312" w:cs="仿宋"/>
                <w:kern w:val="2"/>
              </w:rPr>
              <w:t>11.按要求报送根治欠薪宣传稿件；</w:t>
            </w:r>
          </w:p>
          <w:p>
            <w:pPr>
              <w:pStyle w:val="5"/>
              <w:spacing w:line="280" w:lineRule="exact"/>
              <w:rPr>
                <w:rFonts w:ascii="宋体" w:hAnsi="宋体" w:eastAsia="仿宋_GB2312" w:cs="仿宋"/>
                <w:kern w:val="2"/>
              </w:rPr>
            </w:pPr>
            <w:r>
              <w:rPr>
                <w:rFonts w:ascii="宋体" w:hAnsi="宋体" w:eastAsia="仿宋_GB2312" w:cs="仿宋"/>
                <w:kern w:val="2"/>
              </w:rPr>
              <w:t>12.建立并使用监测平台，对欠薪舆情做到及时发现、核实妥处、及时回应。</w:t>
            </w:r>
          </w:p>
        </w:tc>
        <w:tc>
          <w:tcPr>
            <w:tcW w:w="2127" w:type="dxa"/>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领导小组各</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成员单位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27" w:type="dxa"/>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(五)欠薪突发事件应急 处置</w:t>
            </w:r>
          </w:p>
        </w:tc>
        <w:tc>
          <w:tcPr>
            <w:tcW w:w="10442" w:type="dxa"/>
            <w:gridSpan w:val="3"/>
            <w:noWrap w:val="0"/>
            <w:vAlign w:val="center"/>
          </w:tcPr>
          <w:p>
            <w:pPr>
              <w:pStyle w:val="5"/>
              <w:spacing w:line="280" w:lineRule="exact"/>
              <w:rPr>
                <w:rFonts w:ascii="宋体" w:hAnsi="宋体" w:eastAsia="仿宋_GB2312" w:cs="仿宋"/>
                <w:kern w:val="2"/>
              </w:rPr>
            </w:pPr>
            <w:r>
              <w:rPr>
                <w:rFonts w:ascii="宋体" w:hAnsi="宋体" w:eastAsia="仿宋_GB2312" w:cs="仿宋"/>
                <w:kern w:val="2"/>
              </w:rPr>
              <w:t>13.建立健全欠薪突发事件应急处置预案；</w:t>
            </w:r>
          </w:p>
          <w:p>
            <w:pPr>
              <w:pStyle w:val="5"/>
              <w:spacing w:line="280" w:lineRule="exact"/>
              <w:rPr>
                <w:rFonts w:ascii="宋体" w:hAnsi="宋体"/>
              </w:rPr>
            </w:pPr>
            <w:r>
              <w:rPr>
                <w:rFonts w:ascii="宋体" w:hAnsi="宋体" w:eastAsia="仿宋_GB2312" w:cs="仿宋"/>
                <w:kern w:val="2"/>
              </w:rPr>
              <w:t>14.单独设立欠薪应急周转金账户，足额拨付资金。</w:t>
            </w:r>
          </w:p>
        </w:tc>
        <w:tc>
          <w:tcPr>
            <w:tcW w:w="2127" w:type="dxa"/>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 xml:space="preserve">领导小组办公室  </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财政金融局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196" w:type="dxa"/>
            <w:gridSpan w:val="5"/>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黑体"/>
                <w:b/>
                <w:szCs w:val="21"/>
              </w:rPr>
              <w:t>二、工程建设领域欠薪源头治理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(六)整顿规范建设市场秩序，改进建设领域工程款支付管理</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15.工程建设领域行业主管部门必须严格落实行业监管责任，规范工程建设领域市场秩序，依法查处违法发包、转包或违法分包等违法违规行为；</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16.全面落实工程款支付担保制度；</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17.全面推行施工过程结算；</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18.建设单位未依法实行工程款支付担保或者政府投资项目拖欠工程款，导致拖欠农民工工资的，相关主管部门应限制其新建项目，记入信用记录，纳入省信用信息共享平台，并通过信用中国(济源)网站进行公示。</w:t>
            </w:r>
          </w:p>
        </w:tc>
        <w:tc>
          <w:tcPr>
            <w:tcW w:w="2139" w:type="dxa"/>
            <w:gridSpan w:val="2"/>
            <w:shd w:val="solid" w:color="FFFFFF" w:fill="auto"/>
            <w:noWrap w:val="0"/>
            <w:vAlign w:val="center"/>
          </w:tcPr>
          <w:p>
            <w:pPr>
              <w:autoSpaceDE w:val="0"/>
              <w:autoSpaceDN w:val="0"/>
              <w:spacing w:line="280" w:lineRule="exact"/>
              <w:jc w:val="center"/>
              <w:rPr>
                <w:rFonts w:hint="eastAsia" w:ascii="宋体" w:hAnsi="宋体" w:eastAsia="仿宋_GB2312" w:cs="仿宋"/>
                <w:szCs w:val="21"/>
              </w:rPr>
            </w:pP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发展改革统计局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p>
            <w:pPr>
              <w:autoSpaceDE w:val="0"/>
              <w:autoSpaceDN w:val="0"/>
              <w:spacing w:line="280" w:lineRule="exact"/>
              <w:jc w:val="center"/>
              <w:rPr>
                <w:rFonts w:ascii="宋体"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vMerge w:val="restart"/>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(七)推进政府投资工程项目过程监管</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19.政府投资工程项目主管部门应严格审</w:t>
            </w:r>
            <w:r>
              <w:rPr>
                <w:rFonts w:hint="eastAsia" w:ascii="宋体" w:hAnsi="宋体" w:eastAsia="仿宋" w:cs="仿宋"/>
                <w:szCs w:val="21"/>
              </w:rPr>
              <w:t>査</w:t>
            </w:r>
            <w:r>
              <w:rPr>
                <w:rFonts w:hint="eastAsia" w:ascii="宋体" w:hAnsi="宋体" w:eastAsia="仿宋_GB2312" w:cs="仿宋"/>
                <w:szCs w:val="21"/>
              </w:rPr>
              <w:t>政府投资类工程资金筹措方案，没有明确资金来源和筹措方式的不得批准可研报告；</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20.加强政府投资工程项目资金监管，按规定及时拨付财政资金，从源头上预防因拖欠工程款导致的欠薪；</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21.政府投资工程项目严禁施工企业垫资建设。</w:t>
            </w:r>
          </w:p>
        </w:tc>
        <w:tc>
          <w:tcPr>
            <w:tcW w:w="2139" w:type="dxa"/>
            <w:gridSpan w:val="2"/>
            <w:shd w:val="solid" w:color="FFFFFF" w:fill="auto"/>
            <w:noWrap w:val="0"/>
            <w:vAlign w:val="center"/>
          </w:tcPr>
          <w:p>
            <w:pPr>
              <w:autoSpaceDE w:val="0"/>
              <w:autoSpaceDN w:val="0"/>
              <w:spacing w:line="280" w:lineRule="exact"/>
              <w:jc w:val="center"/>
              <w:rPr>
                <w:rFonts w:hint="eastAsia" w:ascii="宋体" w:hAnsi="宋体" w:eastAsia="仿宋_GB2312" w:cs="仿宋"/>
                <w:szCs w:val="21"/>
              </w:rPr>
            </w:pP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发展改革统计局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财政金融局</w:t>
            </w:r>
          </w:p>
          <w:p>
            <w:pPr>
              <w:autoSpaceDE w:val="0"/>
              <w:autoSpaceDN w:val="0"/>
              <w:spacing w:line="280" w:lineRule="exact"/>
              <w:jc w:val="center"/>
              <w:rPr>
                <w:rFonts w:ascii="宋体"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vMerge w:val="continue"/>
            <w:shd w:val="clear" w:color="auto" w:fill="auto"/>
            <w:noWrap w:val="0"/>
            <w:vAlign w:val="center"/>
          </w:tcPr>
          <w:p>
            <w:pPr>
              <w:autoSpaceDE w:val="0"/>
              <w:autoSpaceDN w:val="0"/>
              <w:spacing w:line="280" w:lineRule="exact"/>
              <w:jc w:val="center"/>
              <w:rPr>
                <w:rFonts w:ascii="宋体" w:hAnsi="宋体" w:eastAsia="仿宋_GB2312" w:cs="仿宋"/>
                <w:szCs w:val="21"/>
              </w:rPr>
            </w:pP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22.建立清理拖欠中小企业账款工作与根治拖欠农民工工资工作的联动机制,并开展工作。</w:t>
            </w:r>
          </w:p>
        </w:tc>
        <w:tc>
          <w:tcPr>
            <w:tcW w:w="2139" w:type="dxa"/>
            <w:gridSpan w:val="2"/>
            <w:shd w:val="solid" w:color="FFFFFF" w:fill="auto"/>
            <w:noWrap w:val="0"/>
            <w:vAlign w:val="center"/>
          </w:tcPr>
          <w:p>
            <w:pPr>
              <w:autoSpaceDE w:val="0"/>
              <w:autoSpaceDN w:val="0"/>
              <w:spacing w:line="280" w:lineRule="exact"/>
              <w:jc w:val="center"/>
              <w:rPr>
                <w:rFonts w:ascii="宋体" w:hAnsi="宋体" w:eastAsia="仿宋_GB2312"/>
                <w:szCs w:val="21"/>
              </w:rPr>
            </w:pPr>
            <w:r>
              <w:rPr>
                <w:rFonts w:hint="eastAsia" w:ascii="宋体" w:hAnsi="宋体" w:eastAsia="仿宋_GB2312" w:cs="仿宋"/>
                <w:szCs w:val="21"/>
              </w:rPr>
              <w:t>工科委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196" w:type="dxa"/>
            <w:gridSpan w:val="5"/>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黑体"/>
                <w:b/>
                <w:szCs w:val="21"/>
              </w:rPr>
              <w:t>三、建立健全工资支付保障制度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w:t>
            </w:r>
            <w:r>
              <w:rPr>
                <w:rFonts w:hint="eastAsia" w:ascii="宋体" w:hAnsi="宋体" w:eastAsia="仿宋_GB2312" w:cs="仿宋"/>
                <w:spacing w:val="-8"/>
                <w:szCs w:val="21"/>
              </w:rPr>
              <w:t>八)加强劳动用工管理，工程建设领域实行实名制管理</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23.在建工程项目施工总承包单位或分包单位必须与所招用农民工订立劳动合同并进行用工实名登记；</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24.各类建设工程必须将项目纳入农民工工资支付监管系统，进行实名登记管理，实现信息互联互通，数据共享；</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25.工程总包单位必须在项目中配备任命专职劳资专管人员；</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26.施工总承包单位、分包单位必须建立用工管理台账。</w:t>
            </w:r>
          </w:p>
        </w:tc>
        <w:tc>
          <w:tcPr>
            <w:tcW w:w="2139" w:type="dxa"/>
            <w:gridSpan w:val="2"/>
            <w:shd w:val="solid" w:color="FFFFFF" w:fill="auto"/>
            <w:noWrap w:val="0"/>
            <w:vAlign w:val="center"/>
          </w:tcPr>
          <w:p>
            <w:pPr>
              <w:autoSpaceDE w:val="0"/>
              <w:autoSpaceDN w:val="0"/>
              <w:spacing w:line="280" w:lineRule="exact"/>
              <w:ind w:firstLine="420" w:firstLineChars="200"/>
              <w:rPr>
                <w:rFonts w:ascii="宋体" w:hAnsi="宋体" w:eastAsia="仿宋_GB2312" w:cs="仿宋"/>
                <w:szCs w:val="21"/>
              </w:rPr>
            </w:pPr>
            <w:r>
              <w:rPr>
                <w:rFonts w:hint="eastAsia" w:ascii="宋体" w:hAnsi="宋体" w:eastAsia="仿宋_GB2312" w:cs="仿宋"/>
                <w:szCs w:val="21"/>
              </w:rPr>
              <w:t xml:space="preserve"> 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(九)落实农民工工资专用账户管理制度</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27.建设单位与施工总承包单位订立的工程施工合同中必须约定人工费用、拨付周期等情况；</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28.施工总承包单位必须在指定银行开设农民工工资专用账户；</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29.建设单位必须及时足额向农民工工资专用账户拨付人工费；</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30.分包单位必须按月考核农民工工作量，并编制工资支付表，须经农民工本人签字确认后，交施工总承包单位；</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31.推行分包单位农民工工资委托总承包单位代发制度，项目总承包单位须通过专用账户委托银行直接发放工资；</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32.各用人单位或其他人员不得以任何理由扣押或者变相扣押农民工本人社会保障卡或银行卡。</w:t>
            </w:r>
          </w:p>
        </w:tc>
        <w:tc>
          <w:tcPr>
            <w:tcW w:w="2139" w:type="dxa"/>
            <w:gridSpan w:val="2"/>
            <w:shd w:val="solid" w:color="FFFFFF" w:fill="auto"/>
            <w:noWrap w:val="0"/>
            <w:vAlign w:val="center"/>
          </w:tcPr>
          <w:p>
            <w:pPr>
              <w:autoSpaceDE w:val="0"/>
              <w:autoSpaceDN w:val="0"/>
              <w:spacing w:line="280" w:lineRule="exact"/>
              <w:ind w:firstLine="420" w:firstLineChars="200"/>
              <w:rPr>
                <w:rFonts w:ascii="宋体" w:hAnsi="宋体" w:eastAsia="仿宋_GB2312" w:cs="仿宋"/>
                <w:szCs w:val="21"/>
              </w:rPr>
            </w:pPr>
            <w:r>
              <w:rPr>
                <w:rFonts w:hint="eastAsia" w:ascii="宋体" w:hAnsi="宋体" w:eastAsia="仿宋_GB2312" w:cs="仿宋"/>
                <w:szCs w:val="21"/>
              </w:rPr>
              <w:t xml:space="preserve">  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(十)落实工资保证金制度</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33.在建项目工程必须实现农民工工资保证金（含保函、担保）全覆盖，保证金监管部门必须严格资金管理，严格按规定收缴和退还。</w:t>
            </w:r>
          </w:p>
        </w:tc>
        <w:tc>
          <w:tcPr>
            <w:tcW w:w="2139" w:type="dxa"/>
            <w:gridSpan w:val="2"/>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(十一)落实施工现场维权公示牌制度</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34.所有在建工程项目按标准在施工现场设立维权信息告示牌。</w:t>
            </w:r>
          </w:p>
        </w:tc>
        <w:tc>
          <w:tcPr>
            <w:tcW w:w="2139" w:type="dxa"/>
            <w:gridSpan w:val="2"/>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196" w:type="dxa"/>
            <w:gridSpan w:val="5"/>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黑体"/>
                <w:b/>
                <w:szCs w:val="21"/>
              </w:rPr>
              <w:t>四、工资支付诚信体系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(十二)依法对建设项目制度落实情况开展监督检查</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35.人社、住建、交通运输、水利等相关行业主管部门必须依法每两个月对本系统内在建工程项目开展一次监督检查，检查主要包括：工程项目实行农民工实名制管理、专用账户管理、总包代发工资、工资保证金、维权信息告示牌等情况。</w:t>
            </w:r>
          </w:p>
        </w:tc>
        <w:tc>
          <w:tcPr>
            <w:tcW w:w="2139" w:type="dxa"/>
            <w:gridSpan w:val="2"/>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人社局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pacing w:val="-6"/>
                <w:szCs w:val="21"/>
              </w:rPr>
            </w:pPr>
            <w:r>
              <w:rPr>
                <w:rFonts w:hint="eastAsia" w:ascii="宋体" w:hAnsi="宋体" w:eastAsia="仿宋_GB2312" w:cs="仿宋"/>
                <w:spacing w:val="-6"/>
                <w:szCs w:val="21"/>
              </w:rPr>
              <w:t>(十三)加强工资支付诚信体系建设，落实失信联合惩戒</w:t>
            </w: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36.组织开展重大劳动保障违法行为社会公布制度；</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37.建立用人单位及相关责任人劳动保障监察诚信档案，组织开展企业劳动保障守法诚信A、B、C三级评价工作；</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38.按照《拖欠劳动者工资“黑名单”管理暂行办法》等规定对拖欠农民工工资的用人单位开展失信联合惩戒；</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39.工程建设领域行业主管部门应当将本行业发生的欠薪情况记入企业或个人信用档案，并通过本行业信用信息共享平台向社会公布。</w:t>
            </w:r>
          </w:p>
        </w:tc>
        <w:tc>
          <w:tcPr>
            <w:tcW w:w="2139" w:type="dxa"/>
            <w:gridSpan w:val="2"/>
            <w:shd w:val="solid" w:color="FFFFFF"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人社局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196" w:type="dxa"/>
            <w:gridSpan w:val="5"/>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黑体"/>
                <w:b/>
                <w:szCs w:val="21"/>
              </w:rPr>
              <w:t>五、依法处置欠薪案件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8" w:type="dxa"/>
            <w:gridSpan w:val="2"/>
            <w:shd w:val="clear" w:color="auto" w:fill="auto"/>
            <w:noWrap w:val="0"/>
            <w:vAlign w:val="center"/>
          </w:tcPr>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(十四)推进农民工欠薪问题依法治理</w:t>
            </w:r>
          </w:p>
          <w:p>
            <w:pPr>
              <w:autoSpaceDE w:val="0"/>
              <w:autoSpaceDN w:val="0"/>
              <w:spacing w:line="280" w:lineRule="exact"/>
              <w:jc w:val="center"/>
              <w:rPr>
                <w:rFonts w:ascii="宋体" w:hAnsi="宋体" w:eastAsia="仿宋_GB2312" w:cs="仿宋"/>
                <w:szCs w:val="21"/>
              </w:rPr>
            </w:pPr>
          </w:p>
        </w:tc>
        <w:tc>
          <w:tcPr>
            <w:tcW w:w="10419" w:type="dxa"/>
            <w:shd w:val="solid" w:color="FFFFFF" w:fill="auto"/>
            <w:noWrap w:val="0"/>
            <w:vAlign w:val="center"/>
          </w:tcPr>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40.建立并完善欠薪预警系统，根据市场监管、税务、银行、水电供应等部门和单位提供的监管信息和企业经营相关指标变化，定期研判，及时预警并做好防范；</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41.各行业主管部门应公开举报投诉电话、网站等渠道，对本行业区域内举报投诉的处理实行首问责任制；</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42.开展农民工工资支付情况多部门联合专项执法检查；</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43.公安机关及时受理、侦办涉嫌拒不支付劳动报酬刑事案件，依法处置因农民工工资拖欠引发的治安案件，符合《保障农民工工资支付条例》第52条的，依法予以处理；</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44.劳动仲裁部门要落实欠薪案件快裁快审机制，全力做好拖欠农民工工资争议案件调处工作；</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45.司法、劳动仲裁等部门要积极参与相关诉讼、咨询、调解等活动帮助解决拖欠农民工工资问题；</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46.工程建设领域行业主管部门要负责督办本领域因违法发包、转包、违法分包、挂靠、拖欠工程款等导致的欠薪案件；</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47.人民法院应依法做好涉及拖欠农民工工资案件及其他相关民事案件的立案、审判、执行等工作，加大对涉及拖欠农民工工资案件的强制执行力度，解决执行难的问题；</w:t>
            </w:r>
          </w:p>
          <w:p>
            <w:pPr>
              <w:autoSpaceDE w:val="0"/>
              <w:autoSpaceDN w:val="0"/>
              <w:spacing w:line="280" w:lineRule="exact"/>
              <w:jc w:val="left"/>
              <w:rPr>
                <w:rFonts w:ascii="宋体" w:hAnsi="宋体" w:eastAsia="仿宋_GB2312" w:cs="仿宋"/>
                <w:szCs w:val="21"/>
              </w:rPr>
            </w:pPr>
            <w:r>
              <w:rPr>
                <w:rFonts w:hint="eastAsia" w:ascii="宋体" w:hAnsi="宋体" w:eastAsia="仿宋_GB2312" w:cs="仿宋"/>
                <w:szCs w:val="21"/>
              </w:rPr>
              <w:t>48.人民检察院应加大对拖欠农民工工资案件支持起诉和诉讼监督的力度。</w:t>
            </w:r>
          </w:p>
        </w:tc>
        <w:tc>
          <w:tcPr>
            <w:tcW w:w="2139" w:type="dxa"/>
            <w:gridSpan w:val="2"/>
            <w:shd w:val="solid" w:color="FFFFFF" w:fill="auto"/>
            <w:noWrap w:val="0"/>
            <w:vAlign w:val="center"/>
          </w:tcPr>
          <w:p>
            <w:pPr>
              <w:autoSpaceDE w:val="0"/>
              <w:autoSpaceDN w:val="0"/>
              <w:spacing w:line="280" w:lineRule="exact"/>
              <w:jc w:val="center"/>
              <w:rPr>
                <w:rFonts w:hint="eastAsia" w:ascii="宋体" w:hAnsi="宋体" w:eastAsia="仿宋_GB2312" w:cs="仿宋"/>
                <w:szCs w:val="21"/>
              </w:rPr>
            </w:pPr>
            <w:r>
              <w:rPr>
                <w:rFonts w:hint="eastAsia" w:ascii="宋体" w:hAnsi="宋体" w:eastAsia="仿宋_GB2312" w:cs="仿宋"/>
                <w:szCs w:val="21"/>
              </w:rPr>
              <w:t>领导小组办公室</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市场监管局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人民银行</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人社局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住建局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交通运输局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水利局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公安局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司法局</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信访联席办</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人民法院</w:t>
            </w:r>
          </w:p>
          <w:p>
            <w:pPr>
              <w:autoSpaceDE w:val="0"/>
              <w:autoSpaceDN w:val="0"/>
              <w:spacing w:line="280" w:lineRule="exact"/>
              <w:jc w:val="center"/>
              <w:rPr>
                <w:rFonts w:ascii="宋体" w:hAnsi="宋体" w:eastAsia="仿宋_GB2312" w:cs="仿宋"/>
                <w:szCs w:val="21"/>
              </w:rPr>
            </w:pPr>
            <w:r>
              <w:rPr>
                <w:rFonts w:hint="eastAsia" w:ascii="宋体" w:hAnsi="宋体" w:eastAsia="仿宋_GB2312" w:cs="仿宋"/>
                <w:szCs w:val="21"/>
              </w:rPr>
              <w:t>人民检察院</w:t>
            </w:r>
          </w:p>
          <w:p>
            <w:pPr>
              <w:autoSpaceDE w:val="0"/>
              <w:autoSpaceDN w:val="0"/>
              <w:spacing w:line="280" w:lineRule="exact"/>
              <w:jc w:val="center"/>
              <w:rPr>
                <w:rFonts w:ascii="宋体" w:hAnsi="宋体" w:eastAsia="仿宋_GB2312" w:cs="仿宋"/>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232F4"/>
    <w:multiLevelType w:val="singleLevel"/>
    <w:tmpl w:val="611232F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01C7"/>
    <w:rsid w:val="0652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customStyle="1" w:styleId="5">
    <w:name w:val="p0"/>
    <w:basedOn w:val="1"/>
    <w:qFormat/>
    <w:uiPriority w:val="0"/>
    <w:pPr>
      <w:widowControl/>
      <w:jc w:val="left"/>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2022-02-18T00:52:00Z</dcterms:created>
  <dc:creator>大斌zzz</dc:creator>
  <cp:lastModifiedBy>大斌zzz</cp:lastModifiedBy>
  <dcterms:modified xsi:type="dcterms:W3CDTF">2022-02-18T00:54:29Z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514EF5B90B9142A688DE15349A3ED712</vt:lpwstr>
  </property>
</Properties>
</file>